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7753F" w14:textId="7529358C" w:rsidR="00AE1F40" w:rsidRDefault="00AE1F40" w:rsidP="00385FF5">
      <w:pPr>
        <w:jc w:val="center"/>
        <w:rPr>
          <w:b/>
          <w:bCs/>
          <w:sz w:val="24"/>
          <w:szCs w:val="24"/>
          <w:rFonts w:eastAsiaTheme="minorHAnsi"/>
        </w:rPr>
      </w:pPr>
      <w:r>
        <w:drawing>
          <wp:anchor distT="0" distB="0" distL="114300" distR="114300" simplePos="0" relativeHeight="251659264" behindDoc="0" locked="0" layoutInCell="1" allowOverlap="1" wp14:anchorId="48F82FEC" wp14:editId="4B1E90F4">
            <wp:simplePos x="0" y="0"/>
            <wp:positionH relativeFrom="margin">
              <wp:posOffset>-95250</wp:posOffset>
            </wp:positionH>
            <wp:positionV relativeFrom="margin">
              <wp:posOffset>-476250</wp:posOffset>
            </wp:positionV>
            <wp:extent cx="1685925" cy="847725"/>
            <wp:effectExtent l="0" t="0" r="9525" b="9525"/>
            <wp:wrapSquare wrapText="bothSides"/>
            <wp:docPr id="2" name="Picture 2" descr="C:\Users\Karen\Downloads\CONTROL-COVID_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ren\Downloads\CONTROL-COVID_Logo (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9B1BA" w14:textId="77777777" w:rsidR="00AE1F40" w:rsidRDefault="00AE1F40" w:rsidP="00385FF5">
      <w:pPr>
        <w:jc w:val="center"/>
        <w:rPr>
          <w:rFonts w:eastAsiaTheme="minorHAnsi"/>
          <w:b/>
          <w:bCs/>
          <w:sz w:val="24"/>
          <w:szCs w:val="24"/>
          <w:lang w:val="en-US"/>
        </w:rPr>
      </w:pPr>
    </w:p>
    <w:p w14:paraId="7BC24BD9" w14:textId="77777777" w:rsidR="00AE1F40" w:rsidRDefault="00AE1F40" w:rsidP="00385FF5">
      <w:pPr>
        <w:jc w:val="center"/>
        <w:rPr>
          <w:rFonts w:eastAsiaTheme="minorHAnsi"/>
          <w:b/>
          <w:bCs/>
          <w:sz w:val="24"/>
          <w:szCs w:val="24"/>
          <w:lang w:val="en-US"/>
        </w:rPr>
      </w:pPr>
    </w:p>
    <w:p w14:paraId="50C83245" w14:textId="20A5D140" w:rsidR="00AA1134" w:rsidRDefault="00AA1134" w:rsidP="00385FF5">
      <w:pPr>
        <w:jc w:val="center"/>
        <w:rPr>
          <w:sz w:val="24"/>
          <w:szCs w:val="24"/>
        </w:rPr>
      </w:pPr>
      <w:r>
        <w:rPr>
          <w:b/>
          <w:bCs/>
          <w:sz w:val="24"/>
          <w:szCs w:val="24"/>
        </w:rPr>
        <w:t xml:space="preserve">Contrôle des éclosions de COVID-19 dans les établissements de soins de longue durée (CONTRÔLE-COVID-Favipiravir) :</w:t>
      </w:r>
      <w:r>
        <w:rPr>
          <w:b/>
          <w:bCs/>
          <w:sz w:val="24"/>
          <w:szCs w:val="24"/>
        </w:rPr>
        <w:t xml:space="preserve"> </w:t>
        <w:br/>
      </w:r>
      <w:r>
        <w:rPr>
          <w:b/>
          <w:bCs/>
          <w:sz w:val="24"/>
          <w:szCs w:val="24"/>
        </w:rPr>
        <w:t xml:space="preserve">Résumé du protocole</w:t>
      </w:r>
      <w:bookmarkStart w:id="0" w:name="_Toc38191115"/>
      <w:bookmarkStart w:id="1" w:name="_Toc381624411"/>
      <w:bookmarkStart w:id="2" w:name="_Toc381624537"/>
      <w:bookmarkStart w:id="3" w:name="_Toc381624795"/>
      <w:bookmarkStart w:id="4" w:name="_Toc381624927"/>
      <w:bookmarkStart w:id="5" w:name="_Toc381625323"/>
      <w:bookmarkStart w:id="6" w:name="_Toc388863317"/>
      <w:bookmarkStart w:id="7" w:name="_Toc388863443"/>
      <w:bookmarkStart w:id="8" w:name="_Toc388863569"/>
      <w:bookmarkStart w:id="9" w:name="_Toc35122841"/>
      <w:bookmarkStart w:id="10" w:name="_Toc381624412"/>
      <w:bookmarkStart w:id="11" w:name="_Toc381624538"/>
      <w:bookmarkStart w:id="12" w:name="_Toc381624796"/>
      <w:bookmarkStart w:id="13" w:name="_Toc381624928"/>
      <w:bookmarkStart w:id="14" w:name="_Toc381625324"/>
      <w:bookmarkStart w:id="15" w:name="_Toc388863318"/>
      <w:bookmarkStart w:id="16" w:name="_Toc388863444"/>
      <w:bookmarkStart w:id="17" w:name="_Toc388863570"/>
      <w:bookmarkStart w:id="18" w:name="_Toc35122842"/>
      <w:bookmarkStart w:id="19" w:name="_Toc3951914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B3D6D0A" w14:textId="4F1C9D74" w:rsidR="00AA1134" w:rsidRPr="003E10A7" w:rsidRDefault="003E10A7" w:rsidP="00AA1134">
      <w:pPr>
        <w:rPr>
          <w:b/>
          <w:bCs/>
          <w:sz w:val="24"/>
          <w:szCs w:val="24"/>
        </w:rPr>
      </w:pPr>
      <w:r>
        <w:rPr>
          <w:b/>
          <w:bCs/>
          <w:sz w:val="24"/>
          <w:szCs w:val="24"/>
        </w:rPr>
        <w:t xml:space="preserve">Contexte :</w:t>
      </w:r>
    </w:p>
    <w:p w14:paraId="2EC64E92" w14:textId="59159A30" w:rsidR="00AA1134" w:rsidRDefault="007B5CB9" w:rsidP="00DA6394">
      <w:pPr>
        <w:ind w:firstLine="720"/>
        <w:rPr>
          <w:sz w:val="24"/>
          <w:szCs w:val="24"/>
        </w:rPr>
      </w:pPr>
      <w:r>
        <w:rPr>
          <w:sz w:val="24"/>
          <w:szCs w:val="24"/>
        </w:rPr>
        <w:t xml:space="preserve">Un nouveau coronavirus, le SRAS-CoV-2, est apparu en décembre 2019.</w:t>
      </w:r>
      <w:r>
        <w:rPr>
          <w:sz w:val="24"/>
          <w:szCs w:val="24"/>
        </w:rPr>
        <w:t xml:space="preserve"> </w:t>
      </w:r>
      <w:r>
        <w:rPr>
          <w:sz w:val="24"/>
          <w:szCs w:val="24"/>
        </w:rPr>
        <w:t xml:space="preserve">À l’origine d’une maladie respiratoire fébrile connue sous le nom de COVID-19, ce virus s’est rapidement répandu dans le monde entier.</w:t>
      </w:r>
      <w:r>
        <w:rPr>
          <w:sz w:val="24"/>
          <w:szCs w:val="24"/>
        </w:rPr>
        <w:t xml:space="preserve"> </w:t>
      </w:r>
      <w:r>
        <w:rPr>
          <w:sz w:val="24"/>
          <w:szCs w:val="24"/>
        </w:rPr>
        <w:t xml:space="preserve">Dès le début de la pandémie, il ressort que les personnes âgées portent le fardeau de cette maladie de manière disproportionnée, la majorité des décès survenant chez les plus de 60 ans.</w:t>
      </w:r>
      <w:r>
        <w:rPr>
          <w:sz w:val="24"/>
          <w:szCs w:val="24"/>
          <w:bCs/>
        </w:rPr>
        <w:t xml:space="preserve"> </w:t>
      </w:r>
      <w:r>
        <w:rPr>
          <w:sz w:val="24"/>
          <w:szCs w:val="24"/>
          <w:bCs/>
        </w:rPr>
        <w:t xml:space="preserve">Des éclosions ont commencé à se produire dans les établissements de soins de longue durée, entraînant un nombre élevé de décès.</w:t>
      </w:r>
      <w:r>
        <w:rPr>
          <w:sz w:val="24"/>
          <w:szCs w:val="24"/>
        </w:rPr>
        <w:t xml:space="preserve"> </w:t>
      </w:r>
      <w:r>
        <w:rPr>
          <w:sz w:val="24"/>
          <w:szCs w:val="24"/>
        </w:rPr>
        <w:t xml:space="preserve">Nous avons un besoin urgent d’interventions pour maîtriser ces éclosions dans les établissements de soins de longue durée afin de minimiser les conséquences de la pandémie sur nos patients âgés.</w:t>
      </w:r>
      <w:r>
        <w:rPr>
          <w:sz w:val="24"/>
          <w:szCs w:val="24"/>
        </w:rPr>
        <w:t xml:space="preserve"> </w:t>
      </w:r>
    </w:p>
    <w:p w14:paraId="08C11348" w14:textId="64347841" w:rsidR="00AA1134" w:rsidRDefault="00AA1134" w:rsidP="00AA1134">
      <w:pPr>
        <w:ind w:firstLine="720"/>
        <w:rPr>
          <w:bCs/>
          <w:sz w:val="24"/>
          <w:szCs w:val="24"/>
        </w:rPr>
      </w:pPr>
      <w:r>
        <w:rPr>
          <w:sz w:val="24"/>
          <w:szCs w:val="24"/>
        </w:rPr>
        <w:t xml:space="preserve">La chimioprophylaxie (administration de médicaments pour prévenir l’infection) a été la pierre angulaire de la gestion des éclosions d’influenza dans les établissements de soins de longue durée.</w:t>
      </w:r>
      <w:r>
        <w:rPr>
          <w:sz w:val="24"/>
          <w:szCs w:val="24"/>
        </w:rPr>
        <w:t xml:space="preserve"> </w:t>
      </w:r>
      <w:r>
        <w:rPr>
          <w:sz w:val="24"/>
          <w:szCs w:val="24"/>
        </w:rPr>
        <w:t xml:space="preserve">L’Organisation mondiale de la santé (OMS) a fait de la recherche d’une stratégie similaire pour les éclosions de COVID-19 une priorité.</w:t>
      </w:r>
      <w:r>
        <w:rPr>
          <w:sz w:val="24"/>
          <w:szCs w:val="24"/>
        </w:rPr>
        <w:t xml:space="preserve"> </w:t>
      </w:r>
      <w:r>
        <w:rPr>
          <w:sz w:val="24"/>
          <w:szCs w:val="24"/>
        </w:rPr>
        <w:t xml:space="preserve">Bien qu’il n’existe pas encore de traitements confirmés pour la COVID-19, les données de laboratoire indiquent que des médicaments existants pourraient être efficaces à des fins de traitement ou de prévention.</w:t>
      </w:r>
      <w:r>
        <w:rPr>
          <w:sz w:val="24"/>
          <w:szCs w:val="24"/>
          <w:bCs/>
        </w:rPr>
        <w:t xml:space="preserve"> </w:t>
      </w:r>
      <w:r>
        <w:rPr>
          <w:sz w:val="24"/>
          <w:szCs w:val="24"/>
          <w:bCs/>
        </w:rPr>
        <w:t xml:space="preserve">Le favipiravir, un agent antiviral à large spectre, présente une activité contre le SRAS-CoV-2 et a démontré un avantage dans les premières études sur la COVID-19.</w:t>
      </w:r>
      <w:r>
        <w:rPr>
          <w:sz w:val="24"/>
          <w:szCs w:val="24"/>
          <w:bCs/>
        </w:rPr>
        <w:t xml:space="preserve"> </w:t>
      </w:r>
      <w:r>
        <w:rPr>
          <w:sz w:val="24"/>
          <w:szCs w:val="24"/>
          <w:bCs/>
        </w:rPr>
        <w:t xml:space="preserve">Le favipiravir est un candidat idéal pour un traitement préventif, car il peut être administré par voie orale et présente un profil de sécurité favorable.</w:t>
      </w:r>
      <w:r>
        <w:rPr>
          <w:sz w:val="24"/>
          <w:szCs w:val="24"/>
          <w:bCs/>
        </w:rPr>
        <w:t xml:space="preserve"> </w:t>
      </w:r>
    </w:p>
    <w:p w14:paraId="720D5545" w14:textId="77777777" w:rsidR="003E10A7" w:rsidRPr="003E10A7" w:rsidRDefault="003E10A7" w:rsidP="003E10A7">
      <w:pPr>
        <w:rPr>
          <w:b/>
          <w:sz w:val="24"/>
          <w:szCs w:val="24"/>
        </w:rPr>
      </w:pPr>
      <w:r>
        <w:rPr>
          <w:b/>
          <w:sz w:val="24"/>
          <w:szCs w:val="24"/>
        </w:rPr>
        <w:t xml:space="preserve">Essai proposé :</w:t>
      </w:r>
      <w:r>
        <w:rPr>
          <w:b/>
          <w:sz w:val="24"/>
          <w:szCs w:val="24"/>
        </w:rPr>
        <w:t xml:space="preserve"> </w:t>
      </w:r>
    </w:p>
    <w:p w14:paraId="048D270A" w14:textId="7FD5AECA" w:rsidR="00AA1134" w:rsidRDefault="00AA1134" w:rsidP="00AA1134">
      <w:pPr>
        <w:ind w:firstLine="720"/>
        <w:rPr>
          <w:sz w:val="24"/>
          <w:szCs w:val="24"/>
        </w:rPr>
      </w:pPr>
      <w:r>
        <w:rPr>
          <w:sz w:val="24"/>
          <w:szCs w:val="24"/>
        </w:rPr>
        <w:t xml:space="preserve">Par conséquent, nous proposons un essai clinique en grappe avec placebo d’un traitement préventif au favipiravir pour lutter contre les éclosions de COVID-19 dans les établissements de soins de longue durée chez les personnes âgées.</w:t>
      </w:r>
      <w:r>
        <w:rPr>
          <w:sz w:val="24"/>
          <w:szCs w:val="24"/>
        </w:rPr>
        <w:t xml:space="preserve"> </w:t>
      </w:r>
    </w:p>
    <w:p w14:paraId="361F5E8F" w14:textId="77777777" w:rsidR="003E10A7" w:rsidRPr="003E10A7" w:rsidRDefault="003E10A7" w:rsidP="003E10A7">
      <w:pPr>
        <w:pStyle w:val="Default"/>
        <w:rPr>
          <w:b/>
          <w:color w:val="auto"/>
        </w:rPr>
      </w:pPr>
      <w:r>
        <w:rPr>
          <w:b/>
          <w:color w:val="auto"/>
        </w:rPr>
        <w:t xml:space="preserve">Processus de recrutement :</w:t>
      </w:r>
      <w:r>
        <w:rPr>
          <w:b/>
          <w:color w:val="auto"/>
        </w:rPr>
        <w:t xml:space="preserve"> </w:t>
      </w:r>
    </w:p>
    <w:p w14:paraId="6C7B6911" w14:textId="4BF63466" w:rsidR="003E10A7" w:rsidRPr="00DD5993" w:rsidRDefault="003E10A7" w:rsidP="003E10A7">
      <w:pPr>
        <w:pStyle w:val="Default"/>
        <w:ind w:firstLine="720"/>
        <w:rPr>
          <w:bCs/>
          <w:color w:val="auto"/>
        </w:rPr>
      </w:pPr>
      <w:r>
        <w:rPr>
          <w:bCs/>
          <w:color w:val="auto"/>
        </w:rPr>
        <w:t xml:space="preserve">Les renseignements sur l’étude seront d’abord fournis aux administrateurs des établissements de soins de longue durée, aux directeurs médicaux et aux conseils des résidents. S’ils conviennent que la participation à l’étude est une possibilité raisonnable pour leurs résidents et leur personnel, les renseignements seront alors fournis aux résidents et au personnel.</w:t>
      </w:r>
      <w:r>
        <w:rPr>
          <w:bCs/>
          <w:color w:val="auto"/>
        </w:rPr>
        <w:t xml:space="preserve"> </w:t>
      </w:r>
      <w:r>
        <w:rPr>
          <w:bCs/>
          <w:color w:val="auto"/>
        </w:rPr>
        <w:t xml:space="preserve">Les établissements de soins de longue durée devront signaler les éclosions au personnel de l’étude.</w:t>
      </w:r>
      <w:r>
        <w:rPr>
          <w:bCs/>
          <w:color w:val="auto"/>
        </w:rPr>
        <w:t xml:space="preserve"> </w:t>
      </w:r>
      <w:r>
        <w:rPr>
          <w:bCs/>
          <w:color w:val="auto"/>
        </w:rPr>
        <w:t xml:space="preserve">Une éclosion sera définie comme suit : ≥ 2 résidents symptomatiques avec COVID-19 confirmée identifiés dans une période de 7 jours dans une unité.</w:t>
      </w:r>
      <w:r>
        <w:rPr>
          <w:bCs/>
          <w:color w:val="auto"/>
        </w:rPr>
        <w:t xml:space="preserve"> </w:t>
      </w:r>
    </w:p>
    <w:p w14:paraId="557A9834" w14:textId="35C3D709" w:rsidR="003E10A7" w:rsidRDefault="003E10A7" w:rsidP="00AA1134">
      <w:pPr>
        <w:pStyle w:val="Default"/>
        <w:ind w:firstLine="720"/>
        <w:rPr>
          <w:bCs/>
          <w:color w:val="auto"/>
        </w:rPr>
      </w:pPr>
      <w:r>
        <w:rPr>
          <w:bCs/>
          <w:color w:val="auto"/>
        </w:rPr>
        <w:t xml:space="preserve">Dès la constatation d’une éclosion, le personnel de l’étude prendra contact avec les résidents et le personnel de l’unité pour discuter de l’étude, évaluer les contre-indications à la participation, et obtenir le consentement éclairé pour la prise du médicament à l’étude, ainsi que pour le suivi des résultats cliniques, de l’adhésion et de la sécurité.</w:t>
      </w:r>
      <w:r>
        <w:rPr>
          <w:bCs/>
          <w:color w:val="auto"/>
        </w:rPr>
        <w:t xml:space="preserve"> </w:t>
      </w:r>
    </w:p>
    <w:p w14:paraId="5B2DD370" w14:textId="77777777" w:rsidR="003E10A7" w:rsidRPr="003E10A7" w:rsidRDefault="003E10A7" w:rsidP="003E10A7">
      <w:pPr>
        <w:pStyle w:val="Default"/>
        <w:rPr>
          <w:b/>
          <w:color w:val="auto"/>
        </w:rPr>
      </w:pPr>
      <w:r>
        <w:rPr>
          <w:b/>
          <w:color w:val="auto"/>
        </w:rPr>
        <w:t xml:space="preserve">Intervention :</w:t>
      </w:r>
      <w:r>
        <w:rPr>
          <w:b/>
          <w:color w:val="auto"/>
        </w:rPr>
        <w:t xml:space="preserve"> </w:t>
      </w:r>
    </w:p>
    <w:p w14:paraId="081553A5" w14:textId="1264935A" w:rsidR="003E10A7" w:rsidRDefault="00AA1134" w:rsidP="00AA1134">
      <w:pPr>
        <w:pStyle w:val="Default"/>
        <w:ind w:firstLine="720"/>
        <w:rPr>
          <w:bCs/>
          <w:color w:val="auto"/>
        </w:rPr>
      </w:pPr>
      <w:r>
        <w:rPr>
          <w:bCs/>
          <w:color w:val="auto"/>
        </w:rPr>
        <w:t xml:space="preserve">Le favipiravir ou le placebo sera proposé à tous les résidents consentants et aux membres du personnel qui travailleront dans l’unité pendant la période de chimioprophylaxie, selon la répartition aléatoire.</w:t>
      </w:r>
      <w:r>
        <w:rPr>
          <w:bCs/>
          <w:color w:val="auto"/>
        </w:rPr>
        <w:t xml:space="preserve"> </w:t>
      </w:r>
      <w:r>
        <w:rPr>
          <w:bCs/>
          <w:color w:val="auto"/>
        </w:rPr>
        <w:t xml:space="preserve">La prise du médicament à l’étude se poursuivra pendant 25 jours.</w:t>
      </w:r>
      <w:r>
        <w:rPr>
          <w:bCs/>
          <w:color w:val="auto"/>
        </w:rPr>
        <w:t xml:space="preserve"> </w:t>
      </w:r>
      <w:r>
        <w:rPr>
          <w:bCs/>
          <w:color w:val="auto"/>
        </w:rPr>
        <w:t xml:space="preserve">Les résidents ayant reçu un diagnostic de COVID-19 au début de l’étude recevront une dose thérapeutique de favipiravir (ou un placebo) pendant 14 jours.</w:t>
      </w:r>
      <w:r>
        <w:rPr>
          <w:bCs/>
          <w:color w:val="auto"/>
        </w:rPr>
        <w:t xml:space="preserve"> </w:t>
      </w:r>
    </w:p>
    <w:p w14:paraId="3536A042" w14:textId="77777777" w:rsidR="003E10A7" w:rsidRPr="003E10A7" w:rsidRDefault="003E10A7" w:rsidP="003E10A7">
      <w:pPr>
        <w:pStyle w:val="Default"/>
        <w:rPr>
          <w:b/>
          <w:color w:val="auto"/>
        </w:rPr>
      </w:pPr>
      <w:r>
        <w:rPr>
          <w:b/>
          <w:color w:val="auto"/>
        </w:rPr>
        <w:t xml:space="preserve">Suivi :</w:t>
      </w:r>
      <w:r>
        <w:rPr>
          <w:b/>
          <w:color w:val="auto"/>
        </w:rPr>
        <w:t xml:space="preserve"> </w:t>
      </w:r>
    </w:p>
    <w:p w14:paraId="4B8C6E9C" w14:textId="405B0D5A" w:rsidR="00AA1134" w:rsidRPr="009E568F" w:rsidRDefault="00AA1134" w:rsidP="009E568F">
      <w:pPr>
        <w:pStyle w:val="Default"/>
        <w:ind w:firstLine="720"/>
        <w:rPr>
          <w:color w:val="auto"/>
        </w:rPr>
      </w:pPr>
      <w:r>
        <w:rPr>
          <w:color w:val="auto"/>
          <w:bCs/>
        </w:rPr>
        <w:t xml:space="preserve">La surveillance des infections suivra son cours habituel pour les maladies touchant les résidents de chaque établissement; le personnel sera invité à signaler les symptômes et sera assujetti à une vérification des symptômes à chaque entrée dans l’édifice.</w:t>
      </w:r>
      <w:r>
        <w:rPr>
          <w:color w:val="auto"/>
          <w:bCs/>
        </w:rPr>
        <w:t xml:space="preserve"> </w:t>
      </w:r>
      <w:r>
        <w:rPr>
          <w:color w:val="auto"/>
          <w:bCs/>
        </w:rPr>
        <w:t xml:space="preserve">Les résidents et le personnel consentants seront assujettis à des prélèvements nasaux aux jours 0, 14 et 40 afin de dépister les infections asymptomatiques.</w:t>
      </w:r>
      <w:r>
        <w:rPr>
          <w:color w:val="auto"/>
          <w:bCs/>
        </w:rPr>
        <w:t xml:space="preserve"> </w:t>
      </w:r>
      <w:r>
        <w:rPr>
          <w:color w:val="auto"/>
          <w:bCs/>
        </w:rPr>
        <w:t xml:space="preserve">Le personnel de l’étude réalisera des entrevues ou des examens de dossiers pour les participants consentants aux jours 0, 14 et 40, avec un suivi supplémentaire au jour 60 pour les résidents.</w:t>
      </w:r>
      <w:r>
        <w:rPr>
          <w:color w:val="auto"/>
          <w:bCs/>
        </w:rPr>
        <w:t xml:space="preserve"> </w:t>
      </w:r>
      <w:r>
        <w:rPr>
          <w:color w:val="auto"/>
        </w:rPr>
        <w:t xml:space="preserve">Le principal résultat sera la maîtrise de l’éclosion, définie comme l’absence de nouveaux cas de COVID-19 confirmés par analyses microbiologiques pendant 24 jours consécutifs, jusqu’au jour 40 après le début de la prise du médicament à l’étude.</w:t>
      </w:r>
      <w:r>
        <w:rPr>
          <w:color w:val="auto"/>
        </w:rPr>
        <w:t xml:space="preserve">  </w:t>
      </w:r>
    </w:p>
    <w:sectPr w:rsidR="00AA1134" w:rsidRPr="009E568F" w:rsidSect="003E10A7">
      <w:footerReference w:type="default" r:id="rId8"/>
      <w:pgSz w:w="12240" w:h="15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B7B45" w14:textId="77777777" w:rsidR="00D13F2F" w:rsidRDefault="00D13F2F" w:rsidP="009E568F">
      <w:r>
        <w:separator/>
      </w:r>
    </w:p>
  </w:endnote>
  <w:endnote w:type="continuationSeparator" w:id="0">
    <w:p w14:paraId="4CA3C783" w14:textId="77777777" w:rsidR="00D13F2F" w:rsidRDefault="00D13F2F" w:rsidP="009E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2E56D" w14:textId="54DBBFBC" w:rsidR="009E568F" w:rsidRDefault="009E568F">
    <w:pPr>
      <w:pStyle w:val="Footer"/>
    </w:pPr>
    <w:r>
      <w:t xml:space="preserve">Résumé du protocole – CONTRÔLE-COVID — v1.0, 12 juin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717B2" w14:textId="77777777" w:rsidR="00D13F2F" w:rsidRDefault="00D13F2F" w:rsidP="009E568F">
      <w:r>
        <w:separator/>
      </w:r>
    </w:p>
  </w:footnote>
  <w:footnote w:type="continuationSeparator" w:id="0">
    <w:p w14:paraId="0465820F" w14:textId="77777777" w:rsidR="00D13F2F" w:rsidRDefault="00D13F2F" w:rsidP="009E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448A4"/>
    <w:multiLevelType w:val="multilevel"/>
    <w:tmpl w:val="E9D093F4"/>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C215D6"/>
    <w:multiLevelType w:val="hybridMultilevel"/>
    <w:tmpl w:val="BF663B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A16CB9"/>
    <w:multiLevelType w:val="multilevel"/>
    <w:tmpl w:val="6008A15E"/>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C31BD4"/>
    <w:multiLevelType w:val="hybridMultilevel"/>
    <w:tmpl w:val="C7CE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17395"/>
    <w:multiLevelType w:val="hybridMultilevel"/>
    <w:tmpl w:val="E4DEB0AE"/>
    <w:lvl w:ilvl="0" w:tplc="A0FECDBA">
      <w:start w:val="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531D68"/>
    <w:multiLevelType w:val="hybridMultilevel"/>
    <w:tmpl w:val="BD2600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C97883"/>
    <w:multiLevelType w:val="hybridMultilevel"/>
    <w:tmpl w:val="AD74E4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5A41C6"/>
    <w:multiLevelType w:val="hybridMultilevel"/>
    <w:tmpl w:val="C3448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61C32"/>
    <w:multiLevelType w:val="hybridMultilevel"/>
    <w:tmpl w:val="AE5A45C6"/>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0F460B"/>
    <w:multiLevelType w:val="hybridMultilevel"/>
    <w:tmpl w:val="D2BE4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8B42DD"/>
    <w:multiLevelType w:val="hybridMultilevel"/>
    <w:tmpl w:val="CA18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E5F73"/>
    <w:multiLevelType w:val="hybridMultilevel"/>
    <w:tmpl w:val="FAF8A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7578E"/>
    <w:multiLevelType w:val="hybridMultilevel"/>
    <w:tmpl w:val="4D56485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28033208"/>
    <w:multiLevelType w:val="hybridMultilevel"/>
    <w:tmpl w:val="206E8C6C"/>
    <w:lvl w:ilvl="0" w:tplc="91586004">
      <w:start w:val="1"/>
      <w:numFmt w:val="decimal"/>
      <w:lvlText w:val="%1."/>
      <w:lvlJc w:val="left"/>
      <w:pPr>
        <w:ind w:left="720" w:hanging="360"/>
      </w:pPr>
      <w:rPr>
        <w:rFonts w:ascii="Times New Roman" w:eastAsia="Times New Roman" w:hAnsi="Times New Roman" w:cs="Times New Roman"/>
        <w:b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F2083F"/>
    <w:multiLevelType w:val="hybridMultilevel"/>
    <w:tmpl w:val="1B4EF6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315EB3"/>
    <w:multiLevelType w:val="multilevel"/>
    <w:tmpl w:val="65EC8046"/>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0E177A0"/>
    <w:multiLevelType w:val="hybridMultilevel"/>
    <w:tmpl w:val="E8BA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C3454"/>
    <w:multiLevelType w:val="hybridMultilevel"/>
    <w:tmpl w:val="3330121C"/>
    <w:lvl w:ilvl="0" w:tplc="394CABAA">
      <w:start w:val="1"/>
      <w:numFmt w:val="bullet"/>
      <w:pStyle w:val="CTDbullet1"/>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03D3B"/>
    <w:multiLevelType w:val="hybridMultilevel"/>
    <w:tmpl w:val="C3448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F6D5E"/>
    <w:multiLevelType w:val="hybridMultilevel"/>
    <w:tmpl w:val="9906F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A40FAD"/>
    <w:multiLevelType w:val="multilevel"/>
    <w:tmpl w:val="FAA2BA84"/>
    <w:lvl w:ilvl="0">
      <w:start w:val="1"/>
      <w:numFmt w:val="decimal"/>
      <w:lvlText w:val="%1."/>
      <w:lvlJc w:val="left"/>
      <w:pPr>
        <w:ind w:left="720" w:hanging="360"/>
      </w:pPr>
      <w:rPr>
        <w:rFonts w:hint="default"/>
        <w:b w:val="0"/>
        <w:bCs w:val="0"/>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AC75F0"/>
    <w:multiLevelType w:val="hybridMultilevel"/>
    <w:tmpl w:val="206E8C6C"/>
    <w:lvl w:ilvl="0" w:tplc="91586004">
      <w:start w:val="1"/>
      <w:numFmt w:val="decimal"/>
      <w:lvlText w:val="%1."/>
      <w:lvlJc w:val="left"/>
      <w:pPr>
        <w:ind w:left="720" w:hanging="360"/>
      </w:pPr>
      <w:rPr>
        <w:rFonts w:ascii="Times New Roman" w:eastAsia="Times New Roman" w:hAnsi="Times New Roman" w:cs="Times New Roman"/>
        <w:b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3C057C"/>
    <w:multiLevelType w:val="hybridMultilevel"/>
    <w:tmpl w:val="ECA07B2A"/>
    <w:lvl w:ilvl="0" w:tplc="B0645C2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2C374D"/>
    <w:multiLevelType w:val="hybridMultilevel"/>
    <w:tmpl w:val="9BA0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66A64"/>
    <w:multiLevelType w:val="hybridMultilevel"/>
    <w:tmpl w:val="ABD2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BF5"/>
    <w:multiLevelType w:val="hybridMultilevel"/>
    <w:tmpl w:val="62E205E8"/>
    <w:lvl w:ilvl="0" w:tplc="35C41C1A">
      <w:start w:val="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8B3857"/>
    <w:multiLevelType w:val="hybridMultilevel"/>
    <w:tmpl w:val="9EAA58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27F35"/>
    <w:multiLevelType w:val="hybridMultilevel"/>
    <w:tmpl w:val="1FAEAA70"/>
    <w:lvl w:ilvl="0" w:tplc="CA9EC9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B141B"/>
    <w:multiLevelType w:val="hybridMultilevel"/>
    <w:tmpl w:val="E504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33BB8"/>
    <w:multiLevelType w:val="hybridMultilevel"/>
    <w:tmpl w:val="F38CD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B4A68"/>
    <w:multiLevelType w:val="hybridMultilevel"/>
    <w:tmpl w:val="836E7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8B74464"/>
    <w:multiLevelType w:val="multilevel"/>
    <w:tmpl w:val="CF4AE78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
  </w:num>
  <w:num w:numId="3">
    <w:abstractNumId w:val="30"/>
  </w:num>
  <w:num w:numId="4">
    <w:abstractNumId w:val="19"/>
  </w:num>
  <w:num w:numId="5">
    <w:abstractNumId w:val="18"/>
  </w:num>
  <w:num w:numId="6">
    <w:abstractNumId w:val="21"/>
  </w:num>
  <w:num w:numId="7">
    <w:abstractNumId w:val="8"/>
  </w:num>
  <w:num w:numId="8">
    <w:abstractNumId w:val="6"/>
  </w:num>
  <w:num w:numId="9">
    <w:abstractNumId w:val="2"/>
  </w:num>
  <w:num w:numId="10">
    <w:abstractNumId w:val="31"/>
  </w:num>
  <w:num w:numId="11">
    <w:abstractNumId w:val="20"/>
  </w:num>
  <w:num w:numId="12">
    <w:abstractNumId w:val="0"/>
  </w:num>
  <w:num w:numId="13">
    <w:abstractNumId w:val="9"/>
  </w:num>
  <w:num w:numId="14">
    <w:abstractNumId w:val="25"/>
  </w:num>
  <w:num w:numId="15">
    <w:abstractNumId w:val="12"/>
  </w:num>
  <w:num w:numId="16">
    <w:abstractNumId w:val="4"/>
  </w:num>
  <w:num w:numId="17">
    <w:abstractNumId w:val="29"/>
  </w:num>
  <w:num w:numId="18">
    <w:abstractNumId w:val="13"/>
  </w:num>
  <w:num w:numId="19">
    <w:abstractNumId w:val="11"/>
  </w:num>
  <w:num w:numId="20">
    <w:abstractNumId w:val="14"/>
  </w:num>
  <w:num w:numId="21">
    <w:abstractNumId w:val="10"/>
  </w:num>
  <w:num w:numId="22">
    <w:abstractNumId w:val="7"/>
  </w:num>
  <w:num w:numId="23">
    <w:abstractNumId w:val="15"/>
  </w:num>
  <w:num w:numId="24">
    <w:abstractNumId w:val="22"/>
  </w:num>
  <w:num w:numId="25">
    <w:abstractNumId w:val="32"/>
  </w:num>
  <w:num w:numId="26">
    <w:abstractNumId w:val="24"/>
  </w:num>
  <w:num w:numId="27">
    <w:abstractNumId w:val="28"/>
  </w:num>
  <w:num w:numId="28">
    <w:abstractNumId w:val="27"/>
  </w:num>
  <w:num w:numId="29">
    <w:abstractNumId w:val="16"/>
  </w:num>
  <w:num w:numId="30">
    <w:abstractNumId w:val="3"/>
  </w:num>
  <w:num w:numId="31">
    <w:abstractNumId w:val="26"/>
  </w:num>
  <w:num w:numId="32">
    <w:abstractNumId w:val="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34"/>
    <w:rsid w:val="00007F14"/>
    <w:rsid w:val="00012DCF"/>
    <w:rsid w:val="000175CA"/>
    <w:rsid w:val="00035178"/>
    <w:rsid w:val="000432A5"/>
    <w:rsid w:val="000566F4"/>
    <w:rsid w:val="00061DC6"/>
    <w:rsid w:val="00061DF5"/>
    <w:rsid w:val="000827E8"/>
    <w:rsid w:val="00082C81"/>
    <w:rsid w:val="000836FD"/>
    <w:rsid w:val="00087C17"/>
    <w:rsid w:val="00091DB0"/>
    <w:rsid w:val="000B22A2"/>
    <w:rsid w:val="000B246D"/>
    <w:rsid w:val="000B4757"/>
    <w:rsid w:val="000C1B27"/>
    <w:rsid w:val="000C33D0"/>
    <w:rsid w:val="000E463A"/>
    <w:rsid w:val="000E55DF"/>
    <w:rsid w:val="000E7EFC"/>
    <w:rsid w:val="00107088"/>
    <w:rsid w:val="00112460"/>
    <w:rsid w:val="00121890"/>
    <w:rsid w:val="001230BA"/>
    <w:rsid w:val="001525F1"/>
    <w:rsid w:val="00155FA7"/>
    <w:rsid w:val="001606D2"/>
    <w:rsid w:val="001766EA"/>
    <w:rsid w:val="00177581"/>
    <w:rsid w:val="00182DAF"/>
    <w:rsid w:val="00186CA2"/>
    <w:rsid w:val="001A1B6D"/>
    <w:rsid w:val="001A2314"/>
    <w:rsid w:val="001A2FC0"/>
    <w:rsid w:val="001A6905"/>
    <w:rsid w:val="001C1F88"/>
    <w:rsid w:val="00204F26"/>
    <w:rsid w:val="002064DB"/>
    <w:rsid w:val="0020751E"/>
    <w:rsid w:val="00215A98"/>
    <w:rsid w:val="00216EE8"/>
    <w:rsid w:val="00224F37"/>
    <w:rsid w:val="00225E4E"/>
    <w:rsid w:val="00233B12"/>
    <w:rsid w:val="00234E7F"/>
    <w:rsid w:val="00240DC3"/>
    <w:rsid w:val="00254863"/>
    <w:rsid w:val="002752AB"/>
    <w:rsid w:val="00281C2C"/>
    <w:rsid w:val="002933BF"/>
    <w:rsid w:val="00293EE2"/>
    <w:rsid w:val="00294078"/>
    <w:rsid w:val="002962F2"/>
    <w:rsid w:val="002B3304"/>
    <w:rsid w:val="002D4AD8"/>
    <w:rsid w:val="002D5AB6"/>
    <w:rsid w:val="002D6ABD"/>
    <w:rsid w:val="002E7151"/>
    <w:rsid w:val="002F0DDF"/>
    <w:rsid w:val="00302DF0"/>
    <w:rsid w:val="003120BB"/>
    <w:rsid w:val="00325B0C"/>
    <w:rsid w:val="00343352"/>
    <w:rsid w:val="00385977"/>
    <w:rsid w:val="00385FF5"/>
    <w:rsid w:val="00391632"/>
    <w:rsid w:val="003942C9"/>
    <w:rsid w:val="003B1F20"/>
    <w:rsid w:val="003B4DAF"/>
    <w:rsid w:val="003B756E"/>
    <w:rsid w:val="003C227F"/>
    <w:rsid w:val="003C3530"/>
    <w:rsid w:val="003C4281"/>
    <w:rsid w:val="003E008E"/>
    <w:rsid w:val="003E10A7"/>
    <w:rsid w:val="003E1411"/>
    <w:rsid w:val="003F4164"/>
    <w:rsid w:val="003F4E18"/>
    <w:rsid w:val="004015BA"/>
    <w:rsid w:val="00402DB6"/>
    <w:rsid w:val="00407313"/>
    <w:rsid w:val="0041745B"/>
    <w:rsid w:val="00450660"/>
    <w:rsid w:val="00480AFD"/>
    <w:rsid w:val="00482FC7"/>
    <w:rsid w:val="004929E2"/>
    <w:rsid w:val="00492C58"/>
    <w:rsid w:val="00494693"/>
    <w:rsid w:val="004B14A2"/>
    <w:rsid w:val="004B1D30"/>
    <w:rsid w:val="004B4153"/>
    <w:rsid w:val="004B5624"/>
    <w:rsid w:val="004C60E9"/>
    <w:rsid w:val="004E75BE"/>
    <w:rsid w:val="004F2F73"/>
    <w:rsid w:val="00535654"/>
    <w:rsid w:val="0055276E"/>
    <w:rsid w:val="00553BC8"/>
    <w:rsid w:val="0055517E"/>
    <w:rsid w:val="00561D6D"/>
    <w:rsid w:val="00562C9F"/>
    <w:rsid w:val="005659AB"/>
    <w:rsid w:val="00576F8D"/>
    <w:rsid w:val="00581D1C"/>
    <w:rsid w:val="00591631"/>
    <w:rsid w:val="0059605C"/>
    <w:rsid w:val="00596CD2"/>
    <w:rsid w:val="005A144C"/>
    <w:rsid w:val="005C1141"/>
    <w:rsid w:val="005D6C96"/>
    <w:rsid w:val="005F20AA"/>
    <w:rsid w:val="00606996"/>
    <w:rsid w:val="00617172"/>
    <w:rsid w:val="00621B1D"/>
    <w:rsid w:val="00621CA7"/>
    <w:rsid w:val="00641AFB"/>
    <w:rsid w:val="00643BCF"/>
    <w:rsid w:val="00653307"/>
    <w:rsid w:val="0065484D"/>
    <w:rsid w:val="0066760E"/>
    <w:rsid w:val="006718CD"/>
    <w:rsid w:val="006748A2"/>
    <w:rsid w:val="00683F8F"/>
    <w:rsid w:val="006848DC"/>
    <w:rsid w:val="00687875"/>
    <w:rsid w:val="0069627B"/>
    <w:rsid w:val="006A0725"/>
    <w:rsid w:val="006A3ACC"/>
    <w:rsid w:val="006D478E"/>
    <w:rsid w:val="006E5666"/>
    <w:rsid w:val="006E7469"/>
    <w:rsid w:val="0070492A"/>
    <w:rsid w:val="0070508B"/>
    <w:rsid w:val="00707DAB"/>
    <w:rsid w:val="00724A0B"/>
    <w:rsid w:val="0073237F"/>
    <w:rsid w:val="00741BD9"/>
    <w:rsid w:val="00742415"/>
    <w:rsid w:val="00744E94"/>
    <w:rsid w:val="00753B5A"/>
    <w:rsid w:val="0075588A"/>
    <w:rsid w:val="0076710C"/>
    <w:rsid w:val="00775D11"/>
    <w:rsid w:val="007848B3"/>
    <w:rsid w:val="007853FA"/>
    <w:rsid w:val="00785D52"/>
    <w:rsid w:val="007A6161"/>
    <w:rsid w:val="007A6360"/>
    <w:rsid w:val="007A7ADC"/>
    <w:rsid w:val="007B5CB9"/>
    <w:rsid w:val="007D21A0"/>
    <w:rsid w:val="007E65F4"/>
    <w:rsid w:val="00801BE6"/>
    <w:rsid w:val="00805D45"/>
    <w:rsid w:val="008213AC"/>
    <w:rsid w:val="0083432F"/>
    <w:rsid w:val="00852122"/>
    <w:rsid w:val="00854FC1"/>
    <w:rsid w:val="008662A9"/>
    <w:rsid w:val="008732F2"/>
    <w:rsid w:val="00875101"/>
    <w:rsid w:val="00886860"/>
    <w:rsid w:val="008951C9"/>
    <w:rsid w:val="008B1939"/>
    <w:rsid w:val="008C1A81"/>
    <w:rsid w:val="008C3652"/>
    <w:rsid w:val="008C39D1"/>
    <w:rsid w:val="008F3833"/>
    <w:rsid w:val="00911E7C"/>
    <w:rsid w:val="00917A1E"/>
    <w:rsid w:val="009254C0"/>
    <w:rsid w:val="00941F32"/>
    <w:rsid w:val="00942220"/>
    <w:rsid w:val="009431EC"/>
    <w:rsid w:val="00944D1A"/>
    <w:rsid w:val="009557FA"/>
    <w:rsid w:val="00962040"/>
    <w:rsid w:val="00975293"/>
    <w:rsid w:val="009819B0"/>
    <w:rsid w:val="0098210A"/>
    <w:rsid w:val="00986632"/>
    <w:rsid w:val="009959D7"/>
    <w:rsid w:val="009968A1"/>
    <w:rsid w:val="009A672E"/>
    <w:rsid w:val="009A6F38"/>
    <w:rsid w:val="009B1A18"/>
    <w:rsid w:val="009B3BA1"/>
    <w:rsid w:val="009B75DF"/>
    <w:rsid w:val="009C1EA6"/>
    <w:rsid w:val="009C1F56"/>
    <w:rsid w:val="009C3C38"/>
    <w:rsid w:val="009D0FB1"/>
    <w:rsid w:val="009D5465"/>
    <w:rsid w:val="009E568F"/>
    <w:rsid w:val="009F3591"/>
    <w:rsid w:val="00A11D12"/>
    <w:rsid w:val="00A22F24"/>
    <w:rsid w:val="00A5154B"/>
    <w:rsid w:val="00A53E8A"/>
    <w:rsid w:val="00A6011C"/>
    <w:rsid w:val="00A67EF2"/>
    <w:rsid w:val="00A847D8"/>
    <w:rsid w:val="00A91F41"/>
    <w:rsid w:val="00A94E72"/>
    <w:rsid w:val="00A967A9"/>
    <w:rsid w:val="00AA1134"/>
    <w:rsid w:val="00AA5F7D"/>
    <w:rsid w:val="00AB0FF8"/>
    <w:rsid w:val="00AB5C92"/>
    <w:rsid w:val="00AD5805"/>
    <w:rsid w:val="00AE1F40"/>
    <w:rsid w:val="00AF72E6"/>
    <w:rsid w:val="00B03A71"/>
    <w:rsid w:val="00B06213"/>
    <w:rsid w:val="00B10F2D"/>
    <w:rsid w:val="00B2049C"/>
    <w:rsid w:val="00B56021"/>
    <w:rsid w:val="00B74758"/>
    <w:rsid w:val="00B76B8D"/>
    <w:rsid w:val="00B97550"/>
    <w:rsid w:val="00B9764F"/>
    <w:rsid w:val="00BA2936"/>
    <w:rsid w:val="00BE2533"/>
    <w:rsid w:val="00BE7A8F"/>
    <w:rsid w:val="00C16632"/>
    <w:rsid w:val="00C237F1"/>
    <w:rsid w:val="00C27DFA"/>
    <w:rsid w:val="00C41584"/>
    <w:rsid w:val="00C5265C"/>
    <w:rsid w:val="00C52DA2"/>
    <w:rsid w:val="00C54977"/>
    <w:rsid w:val="00C823D2"/>
    <w:rsid w:val="00C90AB3"/>
    <w:rsid w:val="00CA38E8"/>
    <w:rsid w:val="00CB4480"/>
    <w:rsid w:val="00CE691F"/>
    <w:rsid w:val="00CF006C"/>
    <w:rsid w:val="00CF3599"/>
    <w:rsid w:val="00CF447E"/>
    <w:rsid w:val="00D033B9"/>
    <w:rsid w:val="00D05C2F"/>
    <w:rsid w:val="00D13F2F"/>
    <w:rsid w:val="00D16392"/>
    <w:rsid w:val="00D2514A"/>
    <w:rsid w:val="00D26B1F"/>
    <w:rsid w:val="00D42D52"/>
    <w:rsid w:val="00D45189"/>
    <w:rsid w:val="00D5781D"/>
    <w:rsid w:val="00D663A3"/>
    <w:rsid w:val="00D75515"/>
    <w:rsid w:val="00D8049A"/>
    <w:rsid w:val="00DA461B"/>
    <w:rsid w:val="00DA4A71"/>
    <w:rsid w:val="00DA6394"/>
    <w:rsid w:val="00DB23CF"/>
    <w:rsid w:val="00DB6492"/>
    <w:rsid w:val="00DC26F2"/>
    <w:rsid w:val="00DC2F6A"/>
    <w:rsid w:val="00DE3B23"/>
    <w:rsid w:val="00DF3DC2"/>
    <w:rsid w:val="00DF493E"/>
    <w:rsid w:val="00DF7CE8"/>
    <w:rsid w:val="00E065B9"/>
    <w:rsid w:val="00E14BD8"/>
    <w:rsid w:val="00E27A75"/>
    <w:rsid w:val="00E45FB7"/>
    <w:rsid w:val="00E708FF"/>
    <w:rsid w:val="00E74067"/>
    <w:rsid w:val="00E825DD"/>
    <w:rsid w:val="00E87A5A"/>
    <w:rsid w:val="00EA3CDE"/>
    <w:rsid w:val="00EB4736"/>
    <w:rsid w:val="00EB75C7"/>
    <w:rsid w:val="00EC4D34"/>
    <w:rsid w:val="00ED03E1"/>
    <w:rsid w:val="00ED1099"/>
    <w:rsid w:val="00EE7897"/>
    <w:rsid w:val="00F03664"/>
    <w:rsid w:val="00F229C3"/>
    <w:rsid w:val="00F467D6"/>
    <w:rsid w:val="00F5050E"/>
    <w:rsid w:val="00F61862"/>
    <w:rsid w:val="00F816A1"/>
    <w:rsid w:val="00F82A12"/>
    <w:rsid w:val="00FB1C9E"/>
    <w:rsid w:val="00FC49DE"/>
    <w:rsid w:val="00FD0221"/>
    <w:rsid w:val="00FF65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FBC36"/>
  <w15:docId w15:val="{B5F76402-8BA0-4454-8848-61C395E5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134"/>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AA1134"/>
    <w:pPr>
      <w:spacing w:before="100" w:beforeAutospacing="1" w:after="100" w:afterAutospacing="1"/>
      <w:outlineLvl w:val="0"/>
    </w:pPr>
    <w:rPr>
      <w:b/>
      <w:bCs/>
      <w:kern w:val="36"/>
      <w:sz w:val="48"/>
      <w:szCs w:val="48"/>
      <w:lang w:eastAsia="en-CA"/>
    </w:rPr>
  </w:style>
  <w:style w:type="paragraph" w:styleId="Heading2">
    <w:name w:val="heading 2"/>
    <w:basedOn w:val="Normal"/>
    <w:next w:val="Normal"/>
    <w:link w:val="Heading2Char"/>
    <w:uiPriority w:val="9"/>
    <w:unhideWhenUsed/>
    <w:qFormat/>
    <w:rsid w:val="00AA11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113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134"/>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AA11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1134"/>
    <w:rPr>
      <w:rFonts w:asciiTheme="majorHAnsi" w:eastAsiaTheme="majorEastAsia" w:hAnsiTheme="majorHAnsi" w:cstheme="majorBidi"/>
      <w:color w:val="1F3763" w:themeColor="accent1" w:themeShade="7F"/>
      <w:sz w:val="24"/>
      <w:szCs w:val="24"/>
    </w:rPr>
  </w:style>
  <w:style w:type="paragraph" w:customStyle="1" w:styleId="Default">
    <w:name w:val="Default"/>
    <w:rsid w:val="00AA113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A1134"/>
    <w:rPr>
      <w:sz w:val="16"/>
      <w:szCs w:val="16"/>
    </w:rPr>
  </w:style>
  <w:style w:type="paragraph" w:styleId="CommentText">
    <w:name w:val="annotation text"/>
    <w:basedOn w:val="Normal"/>
    <w:link w:val="CommentTextChar"/>
    <w:uiPriority w:val="99"/>
    <w:unhideWhenUsed/>
    <w:rsid w:val="00AA1134"/>
  </w:style>
  <w:style w:type="character" w:customStyle="1" w:styleId="CommentTextChar">
    <w:name w:val="Comment Text Char"/>
    <w:basedOn w:val="DefaultParagraphFont"/>
    <w:link w:val="CommentText"/>
    <w:uiPriority w:val="99"/>
    <w:rsid w:val="00AA1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134"/>
    <w:rPr>
      <w:b/>
      <w:bCs/>
    </w:rPr>
  </w:style>
  <w:style w:type="character" w:customStyle="1" w:styleId="CommentSubjectChar">
    <w:name w:val="Comment Subject Char"/>
    <w:basedOn w:val="CommentTextChar"/>
    <w:link w:val="CommentSubject"/>
    <w:uiPriority w:val="99"/>
    <w:semiHidden/>
    <w:rsid w:val="00AA11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1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134"/>
    <w:rPr>
      <w:rFonts w:ascii="Segoe UI" w:eastAsia="Times New Roman" w:hAnsi="Segoe UI" w:cs="Segoe UI"/>
      <w:sz w:val="18"/>
      <w:szCs w:val="18"/>
    </w:rPr>
  </w:style>
  <w:style w:type="character" w:styleId="Hyperlink">
    <w:name w:val="Hyperlink"/>
    <w:basedOn w:val="DefaultParagraphFont"/>
    <w:uiPriority w:val="99"/>
    <w:unhideWhenUsed/>
    <w:rsid w:val="00AA1134"/>
    <w:rPr>
      <w:color w:val="0563C1" w:themeColor="hyperlink"/>
      <w:u w:val="single"/>
    </w:rPr>
  </w:style>
  <w:style w:type="character" w:customStyle="1" w:styleId="UnresolvedMention1">
    <w:name w:val="Unresolved Mention1"/>
    <w:basedOn w:val="DefaultParagraphFont"/>
    <w:uiPriority w:val="99"/>
    <w:semiHidden/>
    <w:unhideWhenUsed/>
    <w:rsid w:val="00AA1134"/>
    <w:rPr>
      <w:color w:val="605E5C"/>
      <w:shd w:val="clear" w:color="auto" w:fill="E1DFDD"/>
    </w:rPr>
  </w:style>
  <w:style w:type="paragraph" w:styleId="NormalWeb">
    <w:name w:val="Normal (Web)"/>
    <w:basedOn w:val="Normal"/>
    <w:uiPriority w:val="99"/>
    <w:unhideWhenUsed/>
    <w:rsid w:val="00AA1134"/>
    <w:pPr>
      <w:spacing w:before="100" w:beforeAutospacing="1" w:after="100" w:afterAutospacing="1"/>
    </w:pPr>
    <w:rPr>
      <w:sz w:val="24"/>
      <w:szCs w:val="24"/>
      <w:lang w:eastAsia="en-CA"/>
    </w:rPr>
  </w:style>
  <w:style w:type="paragraph" w:styleId="ListParagraph">
    <w:name w:val="List Paragraph"/>
    <w:basedOn w:val="Normal"/>
    <w:uiPriority w:val="34"/>
    <w:qFormat/>
    <w:rsid w:val="00AA1134"/>
    <w:pPr>
      <w:ind w:left="720"/>
      <w:contextualSpacing/>
    </w:pPr>
  </w:style>
  <w:style w:type="paragraph" w:customStyle="1" w:styleId="definition">
    <w:name w:val="definition"/>
    <w:rsid w:val="00AA1134"/>
    <w:pPr>
      <w:tabs>
        <w:tab w:val="left" w:pos="0"/>
      </w:tabs>
      <w:spacing w:before="111" w:after="0" w:line="209" w:lineRule="exact"/>
      <w:ind w:left="189" w:hanging="189"/>
      <w:jc w:val="both"/>
    </w:pPr>
    <w:rPr>
      <w:rFonts w:ascii="Times New Roman" w:eastAsia="Times New Roman" w:hAnsi="Times New Roman" w:cs="Times New Roman"/>
      <w:sz w:val="20"/>
      <w:szCs w:val="20"/>
    </w:rPr>
  </w:style>
  <w:style w:type="table" w:styleId="TableGrid">
    <w:name w:val="Table Grid"/>
    <w:basedOn w:val="TableNormal"/>
    <w:uiPriority w:val="59"/>
    <w:rsid w:val="00AA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Dbullet1">
    <w:name w:val="CTD bullet 1"/>
    <w:rsid w:val="00AA1134"/>
    <w:pPr>
      <w:numPr>
        <w:numId w:val="5"/>
      </w:numPr>
      <w:spacing w:after="120" w:line="240" w:lineRule="auto"/>
      <w:jc w:val="both"/>
    </w:pPr>
    <w:rPr>
      <w:rFonts w:ascii="Times New Roman" w:eastAsia="Times New Roman" w:hAnsi="Times New Roman" w:cs="Times New Roman"/>
      <w:sz w:val="24"/>
      <w:szCs w:val="24"/>
      <w:lang w:val="fr-CA"/>
    </w:rPr>
  </w:style>
  <w:style w:type="paragraph" w:customStyle="1" w:styleId="EndNoteBibliography">
    <w:name w:val="EndNote Bibliography"/>
    <w:basedOn w:val="Normal"/>
    <w:link w:val="EndNoteBibliographyChar"/>
    <w:rsid w:val="00AA1134"/>
    <w:rPr>
      <w:rFonts w:ascii="Arial" w:eastAsiaTheme="majorEastAsia" w:hAnsi="Arial" w:cs="Arial"/>
      <w:noProof/>
      <w:color w:val="000000" w:themeColor="text1"/>
      <w:sz w:val="24"/>
      <w:szCs w:val="24"/>
      <w:lang w:val="fr-CA" w:eastAsia="ja-JP"/>
    </w:rPr>
  </w:style>
  <w:style w:type="character" w:customStyle="1" w:styleId="EndNoteBibliographyChar">
    <w:name w:val="EndNote Bibliography Char"/>
    <w:basedOn w:val="DefaultParagraphFont"/>
    <w:link w:val="EndNoteBibliography"/>
    <w:rsid w:val="00AA1134"/>
    <w:rPr>
      <w:rFonts w:ascii="Arial" w:eastAsiaTheme="majorEastAsia" w:hAnsi="Arial" w:cs="Arial"/>
      <w:noProof/>
      <w:color w:val="000000" w:themeColor="text1"/>
      <w:sz w:val="24"/>
      <w:szCs w:val="24"/>
      <w:lang w:val="fr-CA" w:eastAsia="ja-JP"/>
    </w:rPr>
  </w:style>
  <w:style w:type="paragraph" w:customStyle="1" w:styleId="Normal4">
    <w:name w:val="Normal 4"/>
    <w:basedOn w:val="Normal"/>
    <w:qFormat/>
    <w:rsid w:val="00AA1134"/>
    <w:pPr>
      <w:spacing w:after="120"/>
      <w:ind w:left="567"/>
    </w:pPr>
    <w:rPr>
      <w:rFonts w:asciiTheme="minorHAnsi" w:eastAsiaTheme="majorEastAsia" w:hAnsiTheme="minorHAnsi" w:cs="Arial"/>
      <w:color w:val="000000" w:themeColor="text1"/>
      <w:sz w:val="24"/>
      <w:szCs w:val="24"/>
      <w:lang w:val="fr-CA" w:eastAsia="ja-JP"/>
    </w:rPr>
  </w:style>
  <w:style w:type="character" w:styleId="Strong">
    <w:name w:val="Strong"/>
    <w:uiPriority w:val="22"/>
    <w:qFormat/>
    <w:rsid w:val="00AA1134"/>
    <w:rPr>
      <w:b/>
      <w:bCs/>
    </w:rPr>
  </w:style>
  <w:style w:type="character" w:customStyle="1" w:styleId="UnresolvedMention2">
    <w:name w:val="Unresolved Mention2"/>
    <w:basedOn w:val="DefaultParagraphFont"/>
    <w:uiPriority w:val="99"/>
    <w:semiHidden/>
    <w:unhideWhenUsed/>
    <w:rsid w:val="00AA1134"/>
    <w:rPr>
      <w:color w:val="605E5C"/>
      <w:shd w:val="clear" w:color="auto" w:fill="E1DFDD"/>
    </w:rPr>
  </w:style>
  <w:style w:type="character" w:customStyle="1" w:styleId="st">
    <w:name w:val="st"/>
    <w:basedOn w:val="DefaultParagraphFont"/>
    <w:rsid w:val="00AA1134"/>
  </w:style>
  <w:style w:type="paragraph" w:styleId="Header">
    <w:name w:val="header"/>
    <w:basedOn w:val="Normal"/>
    <w:link w:val="HeaderChar"/>
    <w:uiPriority w:val="99"/>
    <w:unhideWhenUsed/>
    <w:rsid w:val="00AA1134"/>
    <w:pPr>
      <w:tabs>
        <w:tab w:val="center" w:pos="4680"/>
        <w:tab w:val="right" w:pos="9360"/>
      </w:tabs>
    </w:pPr>
  </w:style>
  <w:style w:type="character" w:customStyle="1" w:styleId="HeaderChar">
    <w:name w:val="Header Char"/>
    <w:basedOn w:val="DefaultParagraphFont"/>
    <w:link w:val="Header"/>
    <w:uiPriority w:val="99"/>
    <w:rsid w:val="00AA11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1134"/>
    <w:pPr>
      <w:tabs>
        <w:tab w:val="center" w:pos="4680"/>
        <w:tab w:val="right" w:pos="9360"/>
      </w:tabs>
    </w:pPr>
  </w:style>
  <w:style w:type="character" w:customStyle="1" w:styleId="FooterChar">
    <w:name w:val="Footer Char"/>
    <w:basedOn w:val="DefaultParagraphFont"/>
    <w:link w:val="Footer"/>
    <w:uiPriority w:val="99"/>
    <w:rsid w:val="00AA1134"/>
    <w:rPr>
      <w:rFonts w:ascii="Times New Roman" w:eastAsia="Times New Roman" w:hAnsi="Times New Roman" w:cs="Times New Roman"/>
      <w:sz w:val="20"/>
      <w:szCs w:val="20"/>
    </w:rPr>
  </w:style>
  <w:style w:type="character" w:customStyle="1" w:styleId="UnresolvedMention3">
    <w:name w:val="Unresolved Mention3"/>
    <w:basedOn w:val="DefaultParagraphFont"/>
    <w:uiPriority w:val="99"/>
    <w:semiHidden/>
    <w:unhideWhenUsed/>
    <w:rsid w:val="00AA1134"/>
    <w:rPr>
      <w:color w:val="605E5C"/>
      <w:shd w:val="clear" w:color="auto" w:fill="E1DFDD"/>
    </w:rPr>
  </w:style>
  <w:style w:type="paragraph" w:customStyle="1" w:styleId="xmsonormal">
    <w:name w:val="x_msonormal"/>
    <w:basedOn w:val="Normal"/>
    <w:rsid w:val="00AA1134"/>
    <w:pPr>
      <w:spacing w:before="100" w:beforeAutospacing="1" w:after="100" w:afterAutospacing="1"/>
    </w:pPr>
    <w:rPr>
      <w:sz w:val="24"/>
      <w:szCs w:val="24"/>
      <w:lang w:eastAsia="en-CA"/>
    </w:rPr>
  </w:style>
  <w:style w:type="paragraph" w:styleId="TOCHeading">
    <w:name w:val="TOC Heading"/>
    <w:basedOn w:val="Heading1"/>
    <w:next w:val="Normal"/>
    <w:uiPriority w:val="39"/>
    <w:unhideWhenUsed/>
    <w:qFormat/>
    <w:rsid w:val="00AA113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fr-CA" w:eastAsia="en-US"/>
    </w:rPr>
  </w:style>
  <w:style w:type="paragraph" w:styleId="TOC1">
    <w:name w:val="toc 1"/>
    <w:basedOn w:val="Normal"/>
    <w:next w:val="Normal"/>
    <w:autoRedefine/>
    <w:uiPriority w:val="39"/>
    <w:unhideWhenUsed/>
    <w:rsid w:val="00AA1134"/>
    <w:pPr>
      <w:spacing w:after="100"/>
    </w:pPr>
  </w:style>
  <w:style w:type="paragraph" w:styleId="TOC2">
    <w:name w:val="toc 2"/>
    <w:basedOn w:val="Normal"/>
    <w:next w:val="Normal"/>
    <w:autoRedefine/>
    <w:uiPriority w:val="39"/>
    <w:unhideWhenUsed/>
    <w:rsid w:val="00AA1134"/>
    <w:pPr>
      <w:spacing w:after="100"/>
      <w:ind w:left="200"/>
    </w:pPr>
  </w:style>
  <w:style w:type="paragraph" w:styleId="TOC3">
    <w:name w:val="toc 3"/>
    <w:basedOn w:val="Normal"/>
    <w:next w:val="Normal"/>
    <w:autoRedefine/>
    <w:uiPriority w:val="39"/>
    <w:unhideWhenUsed/>
    <w:rsid w:val="00AA1134"/>
    <w:pPr>
      <w:spacing w:after="100"/>
      <w:ind w:left="400"/>
    </w:pPr>
  </w:style>
  <w:style w:type="paragraph" w:styleId="Revision">
    <w:name w:val="Revision"/>
    <w:hidden/>
    <w:uiPriority w:val="99"/>
    <w:semiHidden/>
    <w:rsid w:val="00AA1134"/>
    <w:pPr>
      <w:spacing w:after="0" w:line="240" w:lineRule="auto"/>
    </w:pPr>
    <w:rPr>
      <w:rFonts w:ascii="Times New Roman" w:eastAsia="Times New Roman" w:hAnsi="Times New Roman" w:cs="Times New Roman"/>
      <w:sz w:val="20"/>
      <w:szCs w:val="20"/>
    </w:rPr>
  </w:style>
  <w:style w:type="character" w:customStyle="1" w:styleId="UnresolvedMention4">
    <w:name w:val="Unresolved Mention4"/>
    <w:basedOn w:val="DefaultParagraphFont"/>
    <w:uiPriority w:val="99"/>
    <w:semiHidden/>
    <w:unhideWhenUsed/>
    <w:rsid w:val="00AA1134"/>
    <w:rPr>
      <w:color w:val="605E5C"/>
      <w:shd w:val="clear" w:color="auto" w:fill="E1DFDD"/>
    </w:rPr>
  </w:style>
  <w:style w:type="paragraph" w:styleId="TOC4">
    <w:name w:val="toc 4"/>
    <w:basedOn w:val="Normal"/>
    <w:next w:val="Normal"/>
    <w:autoRedefine/>
    <w:uiPriority w:val="39"/>
    <w:unhideWhenUsed/>
    <w:rsid w:val="00AA1134"/>
    <w:pPr>
      <w:spacing w:after="100"/>
      <w:ind w:left="720"/>
    </w:pPr>
    <w:rPr>
      <w:rFonts w:asciiTheme="minorHAnsi" w:eastAsiaTheme="minorEastAsia" w:hAnsiTheme="minorHAnsi" w:cstheme="minorBidi"/>
      <w:sz w:val="24"/>
      <w:szCs w:val="24"/>
      <w:lang w:val="fr-CA"/>
    </w:rPr>
  </w:style>
  <w:style w:type="paragraph" w:styleId="TOC5">
    <w:name w:val="toc 5"/>
    <w:basedOn w:val="Normal"/>
    <w:next w:val="Normal"/>
    <w:autoRedefine/>
    <w:uiPriority w:val="39"/>
    <w:unhideWhenUsed/>
    <w:rsid w:val="00AA1134"/>
    <w:pPr>
      <w:spacing w:after="100"/>
      <w:ind w:left="960"/>
    </w:pPr>
    <w:rPr>
      <w:rFonts w:asciiTheme="minorHAnsi" w:eastAsiaTheme="minorEastAsia" w:hAnsiTheme="minorHAnsi" w:cstheme="minorBidi"/>
      <w:sz w:val="24"/>
      <w:szCs w:val="24"/>
      <w:lang w:val="fr-CA"/>
    </w:rPr>
  </w:style>
  <w:style w:type="paragraph" w:styleId="TOC6">
    <w:name w:val="toc 6"/>
    <w:basedOn w:val="Normal"/>
    <w:next w:val="Normal"/>
    <w:autoRedefine/>
    <w:uiPriority w:val="39"/>
    <w:unhideWhenUsed/>
    <w:rsid w:val="00AA1134"/>
    <w:pPr>
      <w:spacing w:after="100"/>
      <w:ind w:left="1200"/>
    </w:pPr>
    <w:rPr>
      <w:rFonts w:asciiTheme="minorHAnsi" w:eastAsiaTheme="minorEastAsia" w:hAnsiTheme="minorHAnsi" w:cstheme="minorBidi"/>
      <w:sz w:val="24"/>
      <w:szCs w:val="24"/>
      <w:lang w:val="fr-CA"/>
    </w:rPr>
  </w:style>
  <w:style w:type="paragraph" w:styleId="TOC7">
    <w:name w:val="toc 7"/>
    <w:basedOn w:val="Normal"/>
    <w:next w:val="Normal"/>
    <w:autoRedefine/>
    <w:uiPriority w:val="39"/>
    <w:unhideWhenUsed/>
    <w:rsid w:val="00AA1134"/>
    <w:pPr>
      <w:spacing w:after="100"/>
      <w:ind w:left="1440"/>
    </w:pPr>
    <w:rPr>
      <w:rFonts w:asciiTheme="minorHAnsi" w:eastAsiaTheme="minorEastAsia" w:hAnsiTheme="minorHAnsi" w:cstheme="minorBidi"/>
      <w:sz w:val="24"/>
      <w:szCs w:val="24"/>
      <w:lang w:val="fr-CA"/>
    </w:rPr>
  </w:style>
  <w:style w:type="paragraph" w:styleId="TOC8">
    <w:name w:val="toc 8"/>
    <w:basedOn w:val="Normal"/>
    <w:next w:val="Normal"/>
    <w:autoRedefine/>
    <w:uiPriority w:val="39"/>
    <w:unhideWhenUsed/>
    <w:rsid w:val="00AA1134"/>
    <w:pPr>
      <w:spacing w:after="100"/>
      <w:ind w:left="1680"/>
    </w:pPr>
    <w:rPr>
      <w:rFonts w:asciiTheme="minorHAnsi" w:eastAsiaTheme="minorEastAsia" w:hAnsiTheme="minorHAnsi" w:cstheme="minorBidi"/>
      <w:sz w:val="24"/>
      <w:szCs w:val="24"/>
      <w:lang w:val="fr-CA"/>
    </w:rPr>
  </w:style>
  <w:style w:type="paragraph" w:styleId="TOC9">
    <w:name w:val="toc 9"/>
    <w:basedOn w:val="Normal"/>
    <w:next w:val="Normal"/>
    <w:autoRedefine/>
    <w:uiPriority w:val="39"/>
    <w:unhideWhenUsed/>
    <w:rsid w:val="00AA1134"/>
    <w:pPr>
      <w:spacing w:after="100"/>
      <w:ind w:left="1920"/>
    </w:pPr>
    <w:rPr>
      <w:rFonts w:asciiTheme="minorHAnsi" w:eastAsiaTheme="minorEastAsia" w:hAnsiTheme="minorHAnsi" w:cstheme="minorBidi"/>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73136">
      <w:bodyDiv w:val="1"/>
      <w:marLeft w:val="0"/>
      <w:marRight w:val="0"/>
      <w:marTop w:val="0"/>
      <w:marBottom w:val="0"/>
      <w:divBdr>
        <w:top w:val="none" w:sz="0" w:space="0" w:color="auto"/>
        <w:left w:val="none" w:sz="0" w:space="0" w:color="auto"/>
        <w:bottom w:val="none" w:sz="0" w:space="0" w:color="auto"/>
        <w:right w:val="none" w:sz="0" w:space="0" w:color="auto"/>
      </w:divBdr>
    </w:div>
    <w:div w:id="681856962">
      <w:bodyDiv w:val="1"/>
      <w:marLeft w:val="0"/>
      <w:marRight w:val="0"/>
      <w:marTop w:val="0"/>
      <w:marBottom w:val="0"/>
      <w:divBdr>
        <w:top w:val="none" w:sz="0" w:space="0" w:color="auto"/>
        <w:left w:val="none" w:sz="0" w:space="0" w:color="auto"/>
        <w:bottom w:val="none" w:sz="0" w:space="0" w:color="auto"/>
        <w:right w:val="none" w:sz="0" w:space="0" w:color="auto"/>
      </w:divBdr>
    </w:div>
    <w:div w:id="15424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Coomes</dc:creator>
  <cp:lastModifiedBy>Stacey Lessard</cp:lastModifiedBy>
  <cp:revision>3</cp:revision>
  <cp:lastPrinted>2020-06-01T21:55:00Z</cp:lastPrinted>
  <dcterms:created xsi:type="dcterms:W3CDTF">2020-11-02T19:24:00Z</dcterms:created>
  <dcterms:modified xsi:type="dcterms:W3CDTF">2020-11-02T21:29:00Z</dcterms:modified>
</cp:coreProperties>
</file>