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E7753F" w14:textId="7529358C" w:rsidR="00AE1F40" w:rsidRDefault="00AE1F40" w:rsidP="00385FF5">
      <w:pPr>
        <w:jc w:val="center"/>
        <w:rPr>
          <w:rFonts w:eastAsiaTheme="minorHAnsi"/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8F82FEC" wp14:editId="4B1E90F4">
            <wp:simplePos x="0" y="0"/>
            <wp:positionH relativeFrom="margin">
              <wp:posOffset>-95250</wp:posOffset>
            </wp:positionH>
            <wp:positionV relativeFrom="margin">
              <wp:posOffset>-476250</wp:posOffset>
            </wp:positionV>
            <wp:extent cx="1685925" cy="847725"/>
            <wp:effectExtent l="0" t="0" r="9525" b="9525"/>
            <wp:wrapSquare wrapText="bothSides"/>
            <wp:docPr id="2" name="Picture 2" descr="C:\Users\Karen\Downloads\CONTROL-COVID_Logo (7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Karen\Downloads\CONTROL-COVID_Logo (7)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89B1BA" w14:textId="77777777" w:rsidR="00AE1F40" w:rsidRDefault="00AE1F40" w:rsidP="00385FF5">
      <w:pPr>
        <w:jc w:val="center"/>
        <w:rPr>
          <w:rFonts w:eastAsiaTheme="minorHAnsi"/>
          <w:b/>
          <w:bCs/>
          <w:sz w:val="24"/>
          <w:szCs w:val="24"/>
          <w:lang w:val="en-US"/>
        </w:rPr>
      </w:pPr>
    </w:p>
    <w:p w14:paraId="7BC24BD9" w14:textId="77777777" w:rsidR="00AE1F40" w:rsidRDefault="00AE1F40" w:rsidP="00385FF5">
      <w:pPr>
        <w:jc w:val="center"/>
        <w:rPr>
          <w:rFonts w:eastAsiaTheme="minorHAnsi"/>
          <w:b/>
          <w:bCs/>
          <w:sz w:val="24"/>
          <w:szCs w:val="24"/>
          <w:lang w:val="en-US"/>
        </w:rPr>
      </w:pPr>
    </w:p>
    <w:p w14:paraId="50C83245" w14:textId="20A5D140" w:rsidR="00AA1134" w:rsidRDefault="00AA1134" w:rsidP="00385FF5">
      <w:pPr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Controlo dos surtos de COVID-19 em cuidados de longa duração (CONTROL-COVID-</w:t>
      </w:r>
      <w:proofErr w:type="spellStart"/>
      <w:r>
        <w:rPr>
          <w:b/>
          <w:bCs/>
          <w:sz w:val="24"/>
          <w:szCs w:val="24"/>
        </w:rPr>
        <w:t>Favipiravir</w:t>
      </w:r>
      <w:proofErr w:type="spellEnd"/>
      <w:r>
        <w:rPr>
          <w:b/>
          <w:bCs/>
          <w:sz w:val="24"/>
          <w:szCs w:val="24"/>
        </w:rPr>
        <w:t xml:space="preserve">): </w:t>
      </w:r>
      <w:r>
        <w:rPr>
          <w:b/>
          <w:bCs/>
          <w:sz w:val="24"/>
          <w:szCs w:val="24"/>
        </w:rPr>
        <w:br/>
        <w:t>Sumário do Protocolo</w:t>
      </w:r>
      <w:bookmarkStart w:id="0" w:name="_Toc38191115"/>
      <w:bookmarkStart w:id="1" w:name="_Toc381624411"/>
      <w:bookmarkStart w:id="2" w:name="_Toc381624537"/>
      <w:bookmarkStart w:id="3" w:name="_Toc381624795"/>
      <w:bookmarkStart w:id="4" w:name="_Toc381624927"/>
      <w:bookmarkStart w:id="5" w:name="_Toc381625323"/>
      <w:bookmarkStart w:id="6" w:name="_Toc388863317"/>
      <w:bookmarkStart w:id="7" w:name="_Toc388863443"/>
      <w:bookmarkStart w:id="8" w:name="_Toc388863569"/>
      <w:bookmarkStart w:id="9" w:name="_Toc35122841"/>
      <w:bookmarkStart w:id="10" w:name="_Toc381624412"/>
      <w:bookmarkStart w:id="11" w:name="_Toc381624538"/>
      <w:bookmarkStart w:id="12" w:name="_Toc381624796"/>
      <w:bookmarkStart w:id="13" w:name="_Toc381624928"/>
      <w:bookmarkStart w:id="14" w:name="_Toc381625324"/>
      <w:bookmarkStart w:id="15" w:name="_Toc388863318"/>
      <w:bookmarkStart w:id="16" w:name="_Toc388863444"/>
      <w:bookmarkStart w:id="17" w:name="_Toc388863570"/>
      <w:bookmarkStart w:id="18" w:name="_Toc35122842"/>
      <w:bookmarkStart w:id="19" w:name="_Toc39519146"/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p w14:paraId="2B3D6D0A" w14:textId="4F1C9D74" w:rsidR="00AA1134" w:rsidRPr="003E10A7" w:rsidRDefault="003E10A7" w:rsidP="00AA113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Antecedentes:</w:t>
      </w:r>
    </w:p>
    <w:p w14:paraId="2EC64E92" w14:textId="1797CBE2" w:rsidR="00AA1134" w:rsidRDefault="007B5CB9" w:rsidP="00DA6394">
      <w:pPr>
        <w:ind w:firstLine="720"/>
        <w:rPr>
          <w:sz w:val="24"/>
          <w:szCs w:val="24"/>
        </w:rPr>
      </w:pPr>
      <w:r>
        <w:rPr>
          <w:sz w:val="24"/>
          <w:szCs w:val="24"/>
        </w:rPr>
        <w:t>Um coronavírus novo, o SARS-CoV-2, surgiu em dezembro de 2019. Causando uma doença respiratória febril conhecida como COVID-19, este vírus propagou-se rapidamente por todo o globo. Cedo na pandemia se tornou aparente que os idosos estavam desproporcionadamente a ter a maior carga desta doença, com a maioria das mortes a ocorrer em pessoas com mais de 60 anos de idade.</w:t>
      </w:r>
      <w:r>
        <w:rPr>
          <w:bCs/>
          <w:sz w:val="24"/>
          <w:szCs w:val="24"/>
        </w:rPr>
        <w:t xml:space="preserve"> Os surtos começaram nas casas de cuidados de longa duração (Long-</w:t>
      </w:r>
      <w:proofErr w:type="spellStart"/>
      <w:r>
        <w:rPr>
          <w:bCs/>
          <w:sz w:val="24"/>
          <w:szCs w:val="24"/>
        </w:rPr>
        <w:t>Term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Care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Homes</w:t>
      </w:r>
      <w:proofErr w:type="spellEnd"/>
      <w:r w:rsidR="009E3D20">
        <w:rPr>
          <w:bCs/>
          <w:sz w:val="24"/>
          <w:szCs w:val="24"/>
        </w:rPr>
        <w:t xml:space="preserve"> -</w:t>
      </w:r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LTCHs</w:t>
      </w:r>
      <w:proofErr w:type="spellEnd"/>
      <w:r>
        <w:rPr>
          <w:bCs/>
          <w:sz w:val="24"/>
          <w:szCs w:val="24"/>
        </w:rPr>
        <w:t>), seguidos de números altos de mortes.</w:t>
      </w:r>
      <w:r w:rsidR="00FA2AD3"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São urgentemente necessárias intervenções para controlar estes surtos nas </w:t>
      </w:r>
      <w:proofErr w:type="spellStart"/>
      <w:r>
        <w:rPr>
          <w:sz w:val="24"/>
          <w:szCs w:val="24"/>
        </w:rPr>
        <w:t>LTCHs</w:t>
      </w:r>
      <w:proofErr w:type="spellEnd"/>
      <w:r>
        <w:rPr>
          <w:sz w:val="24"/>
          <w:szCs w:val="24"/>
        </w:rPr>
        <w:t xml:space="preserve"> de modo a minimizar os danos da pandemia nos nossos pacientes mais idosos. </w:t>
      </w:r>
    </w:p>
    <w:p w14:paraId="08C11348" w14:textId="322E65FC" w:rsidR="00AA1134" w:rsidRDefault="00AA1134" w:rsidP="00AA1134">
      <w:pPr>
        <w:ind w:firstLine="720"/>
        <w:rPr>
          <w:bCs/>
          <w:sz w:val="24"/>
          <w:szCs w:val="24"/>
        </w:rPr>
      </w:pPr>
      <w:r>
        <w:rPr>
          <w:sz w:val="24"/>
          <w:szCs w:val="24"/>
        </w:rPr>
        <w:t xml:space="preserve">A quimioprofilaxia (administrar medicamentação para evitar infeção) tem sido um pilar na gestão dos surtos de influenza (gripe) nas </w:t>
      </w:r>
      <w:proofErr w:type="spellStart"/>
      <w:r>
        <w:rPr>
          <w:sz w:val="24"/>
          <w:szCs w:val="24"/>
        </w:rPr>
        <w:t>LTCHs</w:t>
      </w:r>
      <w:proofErr w:type="spellEnd"/>
      <w:r>
        <w:rPr>
          <w:sz w:val="24"/>
          <w:szCs w:val="24"/>
        </w:rPr>
        <w:t>.</w:t>
      </w:r>
      <w:r w:rsidR="00FA2AD3">
        <w:rPr>
          <w:sz w:val="24"/>
          <w:szCs w:val="24"/>
        </w:rPr>
        <w:t xml:space="preserve"> </w:t>
      </w:r>
      <w:r>
        <w:rPr>
          <w:sz w:val="24"/>
          <w:szCs w:val="24"/>
        </w:rPr>
        <w:t>Encontrar uma estratégia semelhante para os surtos de COVID-19 foi identificado como uma prioridade de pesquisa pela Organização Mundial de Saúde (OMS).</w:t>
      </w:r>
      <w:r w:rsidR="00FA2AD3">
        <w:rPr>
          <w:sz w:val="24"/>
          <w:szCs w:val="24"/>
        </w:rPr>
        <w:t xml:space="preserve"> </w:t>
      </w:r>
      <w:r>
        <w:rPr>
          <w:sz w:val="24"/>
          <w:szCs w:val="24"/>
        </w:rPr>
        <w:t>Embora ainda não haja terapias confirmadas para a COVID-19, há evidência laboratorial sugerindo que medicamentos existentes podem ser eficazes no tratamento ou prevenção.</w:t>
      </w:r>
      <w:r w:rsidR="00FA2AD3"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O </w:t>
      </w:r>
      <w:proofErr w:type="spellStart"/>
      <w:r>
        <w:rPr>
          <w:bCs/>
          <w:sz w:val="24"/>
          <w:szCs w:val="24"/>
        </w:rPr>
        <w:t>favipiravir</w:t>
      </w:r>
      <w:proofErr w:type="spellEnd"/>
      <w:r>
        <w:rPr>
          <w:bCs/>
          <w:sz w:val="24"/>
          <w:szCs w:val="24"/>
        </w:rPr>
        <w:t xml:space="preserve">, um agente antivírico de utilização alargada, mostra atividade contra a SARS-CoV-2 e já demonstrou benefício em estudos iniciais da COVID-19. O </w:t>
      </w:r>
      <w:proofErr w:type="spellStart"/>
      <w:r>
        <w:rPr>
          <w:bCs/>
          <w:sz w:val="24"/>
          <w:szCs w:val="24"/>
        </w:rPr>
        <w:t>favipiravir</w:t>
      </w:r>
      <w:proofErr w:type="spellEnd"/>
      <w:r>
        <w:rPr>
          <w:bCs/>
          <w:sz w:val="24"/>
          <w:szCs w:val="24"/>
        </w:rPr>
        <w:t xml:space="preserve"> é um candidato ideal para terapia preventiva, uma vez que está disponível para administração oral e tem um perfil de segurança favorável. </w:t>
      </w:r>
    </w:p>
    <w:p w14:paraId="720D5545" w14:textId="77777777" w:rsidR="003E10A7" w:rsidRPr="003E10A7" w:rsidRDefault="003E10A7" w:rsidP="003E10A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Ensaio Proposto: </w:t>
      </w:r>
    </w:p>
    <w:p w14:paraId="048D270A" w14:textId="7FD5AECA" w:rsidR="00AA1134" w:rsidRDefault="00AA1134" w:rsidP="00AA1134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Assim, propomos um ensaio em grupo aleatório, controlado com placebo, de terapia preventiva com </w:t>
      </w:r>
      <w:proofErr w:type="spellStart"/>
      <w:r>
        <w:rPr>
          <w:sz w:val="24"/>
          <w:szCs w:val="24"/>
        </w:rPr>
        <w:t>favipiravir</w:t>
      </w:r>
      <w:proofErr w:type="spellEnd"/>
      <w:r>
        <w:rPr>
          <w:sz w:val="24"/>
          <w:szCs w:val="24"/>
        </w:rPr>
        <w:t xml:space="preserve"> para o controlo de surtos de COVID-19 em </w:t>
      </w:r>
      <w:proofErr w:type="spellStart"/>
      <w:r>
        <w:rPr>
          <w:sz w:val="24"/>
          <w:szCs w:val="24"/>
        </w:rPr>
        <w:t>LTCHs</w:t>
      </w:r>
      <w:proofErr w:type="spellEnd"/>
      <w:r>
        <w:rPr>
          <w:sz w:val="24"/>
          <w:szCs w:val="24"/>
        </w:rPr>
        <w:t xml:space="preserve"> para os idosos. </w:t>
      </w:r>
    </w:p>
    <w:p w14:paraId="361F5E8F" w14:textId="77777777" w:rsidR="003E10A7" w:rsidRPr="003E10A7" w:rsidRDefault="003E10A7" w:rsidP="003E10A7">
      <w:pPr>
        <w:pStyle w:val="Default"/>
        <w:rPr>
          <w:b/>
          <w:color w:val="auto"/>
        </w:rPr>
      </w:pPr>
      <w:r>
        <w:rPr>
          <w:b/>
          <w:color w:val="auto"/>
        </w:rPr>
        <w:t xml:space="preserve">Processo de Recrutamento: </w:t>
      </w:r>
    </w:p>
    <w:p w14:paraId="6C7B6911" w14:textId="59C8AA0E" w:rsidR="003E10A7" w:rsidRPr="00DD5993" w:rsidRDefault="003E10A7" w:rsidP="003E10A7">
      <w:pPr>
        <w:pStyle w:val="Default"/>
        <w:ind w:firstLine="720"/>
        <w:rPr>
          <w:bCs/>
          <w:color w:val="auto"/>
        </w:rPr>
      </w:pPr>
      <w:r>
        <w:rPr>
          <w:bCs/>
          <w:color w:val="auto"/>
        </w:rPr>
        <w:t xml:space="preserve">A informação do estudo será fornecida, em primeiro lugar, à administração da LTCH, diretores médicos e conselhos de residentes, e no caso de eles concordarem que a participação no estudo é uma opção razoável para os seus residentes e funcionários, então a informação será fornecida aos residentes e funcionários. Será pedido às </w:t>
      </w:r>
      <w:proofErr w:type="spellStart"/>
      <w:r>
        <w:rPr>
          <w:bCs/>
          <w:color w:val="auto"/>
        </w:rPr>
        <w:t>LTCHs</w:t>
      </w:r>
      <w:proofErr w:type="spellEnd"/>
      <w:r>
        <w:rPr>
          <w:bCs/>
          <w:color w:val="auto"/>
        </w:rPr>
        <w:t xml:space="preserve"> para reportarem os surtos ao estudo. Um surto será definido como ≥ 2 residentes sintomáticos com COVID-19 confirmada e identificada dentro de 7 dias em uma unidade. </w:t>
      </w:r>
    </w:p>
    <w:p w14:paraId="557A9834" w14:textId="00554E74" w:rsidR="003E10A7" w:rsidRDefault="003E10A7" w:rsidP="00AA1134">
      <w:pPr>
        <w:pStyle w:val="Default"/>
        <w:ind w:firstLine="720"/>
        <w:rPr>
          <w:bCs/>
          <w:color w:val="auto"/>
        </w:rPr>
      </w:pPr>
      <w:r>
        <w:rPr>
          <w:bCs/>
          <w:color w:val="auto"/>
        </w:rPr>
        <w:t>Mediante a identificação de um surto, os funcionários do estudo contactarão os residentes e os funcionários da unidade para falar sobre o estudo, avaliar as contraindicações à inscrição, e obter o consentimento informado para receber o medicamento do estudo e ser acompanhado para os resultados clínicos.</w:t>
      </w:r>
      <w:r w:rsidR="00FA2AD3">
        <w:rPr>
          <w:bCs/>
          <w:color w:val="auto"/>
        </w:rPr>
        <w:t xml:space="preserve"> </w:t>
      </w:r>
    </w:p>
    <w:p w14:paraId="5B2DD370" w14:textId="77777777" w:rsidR="003E10A7" w:rsidRPr="003E10A7" w:rsidRDefault="003E10A7" w:rsidP="003E10A7">
      <w:pPr>
        <w:pStyle w:val="Default"/>
        <w:rPr>
          <w:b/>
          <w:color w:val="auto"/>
        </w:rPr>
      </w:pPr>
      <w:r>
        <w:rPr>
          <w:b/>
          <w:color w:val="auto"/>
        </w:rPr>
        <w:t xml:space="preserve">Intervenção: </w:t>
      </w:r>
    </w:p>
    <w:p w14:paraId="081553A5" w14:textId="105162F7" w:rsidR="003E10A7" w:rsidRDefault="00AA1134" w:rsidP="00AA1134">
      <w:pPr>
        <w:pStyle w:val="Default"/>
        <w:ind w:firstLine="720"/>
        <w:rPr>
          <w:bCs/>
          <w:color w:val="auto"/>
        </w:rPr>
      </w:pPr>
      <w:r>
        <w:rPr>
          <w:bCs/>
          <w:color w:val="auto"/>
        </w:rPr>
        <w:t xml:space="preserve">O </w:t>
      </w:r>
      <w:proofErr w:type="spellStart"/>
      <w:r>
        <w:rPr>
          <w:bCs/>
          <w:color w:val="auto"/>
        </w:rPr>
        <w:t>favipiravir</w:t>
      </w:r>
      <w:proofErr w:type="spellEnd"/>
      <w:r>
        <w:rPr>
          <w:bCs/>
          <w:color w:val="auto"/>
        </w:rPr>
        <w:t xml:space="preserve"> ou o placebo será oferecido a todos os residentes e funcionários que consentiram e que estarão a trabalhar na unidade durante o período da quimioprofilaxia, de acordo com a atribuição aleatória. O medicamento do estudo continuará durante 25 dias. Para os residentes diagnosticados com a COVID-19 no início do estudo, será fornecida uma dose de tratamento de </w:t>
      </w:r>
      <w:proofErr w:type="spellStart"/>
      <w:r>
        <w:rPr>
          <w:bCs/>
          <w:color w:val="auto"/>
        </w:rPr>
        <w:t>favipiravir</w:t>
      </w:r>
      <w:proofErr w:type="spellEnd"/>
      <w:r>
        <w:rPr>
          <w:bCs/>
          <w:color w:val="auto"/>
        </w:rPr>
        <w:t xml:space="preserve"> (ou placebo) durante 14 dias. </w:t>
      </w:r>
    </w:p>
    <w:p w14:paraId="3536A042" w14:textId="77777777" w:rsidR="003E10A7" w:rsidRPr="003E10A7" w:rsidRDefault="003E10A7" w:rsidP="003E10A7">
      <w:pPr>
        <w:pStyle w:val="Default"/>
        <w:rPr>
          <w:b/>
          <w:color w:val="auto"/>
        </w:rPr>
      </w:pPr>
      <w:r>
        <w:rPr>
          <w:b/>
          <w:color w:val="auto"/>
        </w:rPr>
        <w:t xml:space="preserve">Acompanhamento: </w:t>
      </w:r>
    </w:p>
    <w:p w14:paraId="4B8C6E9C" w14:textId="2D2E3EC8" w:rsidR="00AA1134" w:rsidRPr="009E568F" w:rsidRDefault="00AA1134" w:rsidP="009E568F">
      <w:pPr>
        <w:pStyle w:val="Default"/>
        <w:ind w:firstLine="720"/>
        <w:rPr>
          <w:color w:val="auto"/>
        </w:rPr>
      </w:pPr>
      <w:r>
        <w:rPr>
          <w:bCs/>
          <w:color w:val="auto"/>
        </w:rPr>
        <w:lastRenderedPageBreak/>
        <w:t xml:space="preserve">A vigilância quanto a infeção ocorrerá, como habitualmente, para a doença de residentes em cada instalação; será pedido aos funcionários para reportarem os sintomas e eles serão rastreados quanto aos sintomas cada vez que entram no prédio. Os residentes e os funcionários que consentiram farão um esfregalho nos dias 0, 14 e 40 para identificar infeções assintomáticas. Os funcionários do estudo efetuarão entrevistas e/ou revisões de tabelas clínicas para os residentes que consentiram nos dias 0, 14 e 40, com um acompanhamento adicional no dia 60 para os residentes. </w:t>
      </w:r>
      <w:r>
        <w:rPr>
          <w:color w:val="auto"/>
        </w:rPr>
        <w:t xml:space="preserve">O resultado principal será o controlo do surto, definido como a ausência de novos casos </w:t>
      </w:r>
      <w:r>
        <w:rPr>
          <w:bCs/>
          <w:color w:val="auto"/>
        </w:rPr>
        <w:t>microbiologicamente confirmados de COVID-19 durante 24 dias consecutivos, até ao dia 40 após o medicamento do estudo ter sido iniciado.</w:t>
      </w:r>
      <w:r w:rsidR="00FA2AD3">
        <w:rPr>
          <w:color w:val="auto"/>
        </w:rPr>
        <w:t xml:space="preserve"> </w:t>
      </w:r>
    </w:p>
    <w:sectPr w:rsidR="00AA1134" w:rsidRPr="009E568F" w:rsidSect="003E10A7">
      <w:footerReference w:type="default" r:id="rId8"/>
      <w:pgSz w:w="12240" w:h="15840"/>
      <w:pgMar w:top="1440" w:right="1440" w:bottom="1440" w:left="1440" w:header="706" w:footer="7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B5B9E1" w14:textId="77777777" w:rsidR="00526CD3" w:rsidRDefault="00526CD3" w:rsidP="009E568F">
      <w:r>
        <w:separator/>
      </w:r>
    </w:p>
  </w:endnote>
  <w:endnote w:type="continuationSeparator" w:id="0">
    <w:p w14:paraId="0AFC2040" w14:textId="77777777" w:rsidR="00526CD3" w:rsidRDefault="00526CD3" w:rsidP="009E5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B2E56D" w14:textId="594EC497" w:rsidR="009E568F" w:rsidRDefault="009E568F">
    <w:pPr>
      <w:pStyle w:val="Footer"/>
    </w:pPr>
    <w:r>
      <w:t xml:space="preserve">Sumário do Protocolo – CONTROL-COVID – v1.0, 12 de </w:t>
    </w:r>
    <w:proofErr w:type="gramStart"/>
    <w:r>
      <w:t>Junho</w:t>
    </w:r>
    <w:proofErr w:type="gramEnd"/>
    <w:r>
      <w:t xml:space="preserve"> de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2A6DD1" w14:textId="77777777" w:rsidR="00526CD3" w:rsidRDefault="00526CD3" w:rsidP="009E568F">
      <w:r>
        <w:separator/>
      </w:r>
    </w:p>
  </w:footnote>
  <w:footnote w:type="continuationSeparator" w:id="0">
    <w:p w14:paraId="34F6352C" w14:textId="77777777" w:rsidR="00526CD3" w:rsidRDefault="00526CD3" w:rsidP="009E56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)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3448A4"/>
    <w:multiLevelType w:val="multilevel"/>
    <w:tmpl w:val="E9D093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C215D6"/>
    <w:multiLevelType w:val="hybridMultilevel"/>
    <w:tmpl w:val="BF663B3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A16CB9"/>
    <w:multiLevelType w:val="multilevel"/>
    <w:tmpl w:val="6008A1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AC31BD4"/>
    <w:multiLevelType w:val="hybridMultilevel"/>
    <w:tmpl w:val="C7CED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417395"/>
    <w:multiLevelType w:val="hybridMultilevel"/>
    <w:tmpl w:val="E4DEB0AE"/>
    <w:lvl w:ilvl="0" w:tplc="A0FECDBA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531D68"/>
    <w:multiLevelType w:val="hybridMultilevel"/>
    <w:tmpl w:val="BD26005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C97883"/>
    <w:multiLevelType w:val="hybridMultilevel"/>
    <w:tmpl w:val="AD74E4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65A41C6"/>
    <w:multiLevelType w:val="hybridMultilevel"/>
    <w:tmpl w:val="C34480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761C32"/>
    <w:multiLevelType w:val="hybridMultilevel"/>
    <w:tmpl w:val="AE5A45C6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0F460B"/>
    <w:multiLevelType w:val="hybridMultilevel"/>
    <w:tmpl w:val="D2BE467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8B42DD"/>
    <w:multiLevelType w:val="hybridMultilevel"/>
    <w:tmpl w:val="CA1899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0E5F73"/>
    <w:multiLevelType w:val="hybridMultilevel"/>
    <w:tmpl w:val="FAF8A7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067578E"/>
    <w:multiLevelType w:val="hybridMultilevel"/>
    <w:tmpl w:val="4D564856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4" w15:restartNumberingAfterBreak="0">
    <w:nsid w:val="28033208"/>
    <w:multiLevelType w:val="hybridMultilevel"/>
    <w:tmpl w:val="206E8C6C"/>
    <w:lvl w:ilvl="0" w:tplc="9158600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F2083F"/>
    <w:multiLevelType w:val="hybridMultilevel"/>
    <w:tmpl w:val="1B4EF61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D315EB3"/>
    <w:multiLevelType w:val="multilevel"/>
    <w:tmpl w:val="65EC80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0E177A0"/>
    <w:multiLevelType w:val="hybridMultilevel"/>
    <w:tmpl w:val="E8BAD4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6C3454"/>
    <w:multiLevelType w:val="hybridMultilevel"/>
    <w:tmpl w:val="3330121C"/>
    <w:lvl w:ilvl="0" w:tplc="394CABAA">
      <w:start w:val="1"/>
      <w:numFmt w:val="bullet"/>
      <w:pStyle w:val="CTDbullet1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C03D3B"/>
    <w:multiLevelType w:val="hybridMultilevel"/>
    <w:tmpl w:val="C34480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EF6D5E"/>
    <w:multiLevelType w:val="hybridMultilevel"/>
    <w:tmpl w:val="9906FF5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A40FAD"/>
    <w:multiLevelType w:val="multilevel"/>
    <w:tmpl w:val="FAA2BA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4DAC75F0"/>
    <w:multiLevelType w:val="hybridMultilevel"/>
    <w:tmpl w:val="206E8C6C"/>
    <w:lvl w:ilvl="0" w:tplc="9158600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3C057C"/>
    <w:multiLevelType w:val="hybridMultilevel"/>
    <w:tmpl w:val="ECA07B2A"/>
    <w:lvl w:ilvl="0" w:tplc="B0645C28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92C374D"/>
    <w:multiLevelType w:val="hybridMultilevel"/>
    <w:tmpl w:val="9BA0D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A66A64"/>
    <w:multiLevelType w:val="hybridMultilevel"/>
    <w:tmpl w:val="ABD22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195BF5"/>
    <w:multiLevelType w:val="hybridMultilevel"/>
    <w:tmpl w:val="62E205E8"/>
    <w:lvl w:ilvl="0" w:tplc="35C41C1A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8B3857"/>
    <w:multiLevelType w:val="hybridMultilevel"/>
    <w:tmpl w:val="9EAA58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527F35"/>
    <w:multiLevelType w:val="hybridMultilevel"/>
    <w:tmpl w:val="1FAEAA70"/>
    <w:lvl w:ilvl="0" w:tplc="CA9EC90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CB141B"/>
    <w:multiLevelType w:val="hybridMultilevel"/>
    <w:tmpl w:val="E5048E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B33BB8"/>
    <w:multiLevelType w:val="hybridMultilevel"/>
    <w:tmpl w:val="F38CD1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AB4A68"/>
    <w:multiLevelType w:val="hybridMultilevel"/>
    <w:tmpl w:val="836E7BF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B74464"/>
    <w:multiLevelType w:val="multilevel"/>
    <w:tmpl w:val="CF4AE78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3"/>
  </w:num>
  <w:num w:numId="2">
    <w:abstractNumId w:val="1"/>
  </w:num>
  <w:num w:numId="3">
    <w:abstractNumId w:val="30"/>
  </w:num>
  <w:num w:numId="4">
    <w:abstractNumId w:val="19"/>
  </w:num>
  <w:num w:numId="5">
    <w:abstractNumId w:val="18"/>
  </w:num>
  <w:num w:numId="6">
    <w:abstractNumId w:val="21"/>
  </w:num>
  <w:num w:numId="7">
    <w:abstractNumId w:val="8"/>
  </w:num>
  <w:num w:numId="8">
    <w:abstractNumId w:val="6"/>
  </w:num>
  <w:num w:numId="9">
    <w:abstractNumId w:val="2"/>
  </w:num>
  <w:num w:numId="10">
    <w:abstractNumId w:val="31"/>
  </w:num>
  <w:num w:numId="11">
    <w:abstractNumId w:val="20"/>
  </w:num>
  <w:num w:numId="12">
    <w:abstractNumId w:val="0"/>
  </w:num>
  <w:num w:numId="13">
    <w:abstractNumId w:val="9"/>
  </w:num>
  <w:num w:numId="14">
    <w:abstractNumId w:val="25"/>
  </w:num>
  <w:num w:numId="15">
    <w:abstractNumId w:val="12"/>
  </w:num>
  <w:num w:numId="16">
    <w:abstractNumId w:val="4"/>
  </w:num>
  <w:num w:numId="17">
    <w:abstractNumId w:val="29"/>
  </w:num>
  <w:num w:numId="18">
    <w:abstractNumId w:val="13"/>
  </w:num>
  <w:num w:numId="19">
    <w:abstractNumId w:val="11"/>
  </w:num>
  <w:num w:numId="20">
    <w:abstractNumId w:val="14"/>
  </w:num>
  <w:num w:numId="21">
    <w:abstractNumId w:val="10"/>
  </w:num>
  <w:num w:numId="22">
    <w:abstractNumId w:val="7"/>
  </w:num>
  <w:num w:numId="23">
    <w:abstractNumId w:val="15"/>
  </w:num>
  <w:num w:numId="24">
    <w:abstractNumId w:val="22"/>
  </w:num>
  <w:num w:numId="25">
    <w:abstractNumId w:val="32"/>
  </w:num>
  <w:num w:numId="26">
    <w:abstractNumId w:val="24"/>
  </w:num>
  <w:num w:numId="27">
    <w:abstractNumId w:val="28"/>
  </w:num>
  <w:num w:numId="28">
    <w:abstractNumId w:val="27"/>
  </w:num>
  <w:num w:numId="29">
    <w:abstractNumId w:val="16"/>
  </w:num>
  <w:num w:numId="30">
    <w:abstractNumId w:val="3"/>
  </w:num>
  <w:num w:numId="31">
    <w:abstractNumId w:val="26"/>
  </w:num>
  <w:num w:numId="32">
    <w:abstractNumId w:val="5"/>
  </w:num>
  <w:num w:numId="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4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1134"/>
    <w:rsid w:val="00007F14"/>
    <w:rsid w:val="00012DCF"/>
    <w:rsid w:val="000175CA"/>
    <w:rsid w:val="00035178"/>
    <w:rsid w:val="000432A5"/>
    <w:rsid w:val="000566F4"/>
    <w:rsid w:val="00061DC6"/>
    <w:rsid w:val="00061DF5"/>
    <w:rsid w:val="000827E8"/>
    <w:rsid w:val="00082C81"/>
    <w:rsid w:val="000836FD"/>
    <w:rsid w:val="00087C17"/>
    <w:rsid w:val="00091DB0"/>
    <w:rsid w:val="000B22A2"/>
    <w:rsid w:val="000B246D"/>
    <w:rsid w:val="000B4757"/>
    <w:rsid w:val="000C1B27"/>
    <w:rsid w:val="000C33D0"/>
    <w:rsid w:val="000E463A"/>
    <w:rsid w:val="000E55DF"/>
    <w:rsid w:val="000E7EFC"/>
    <w:rsid w:val="00107088"/>
    <w:rsid w:val="00112460"/>
    <w:rsid w:val="00121890"/>
    <w:rsid w:val="001230BA"/>
    <w:rsid w:val="001525F1"/>
    <w:rsid w:val="00155FA7"/>
    <w:rsid w:val="001606D2"/>
    <w:rsid w:val="001766EA"/>
    <w:rsid w:val="00177581"/>
    <w:rsid w:val="00182DAF"/>
    <w:rsid w:val="00186CA2"/>
    <w:rsid w:val="001A1B6D"/>
    <w:rsid w:val="001A2314"/>
    <w:rsid w:val="001A2FC0"/>
    <w:rsid w:val="001A6905"/>
    <w:rsid w:val="001C1C13"/>
    <w:rsid w:val="001C1F88"/>
    <w:rsid w:val="00204F26"/>
    <w:rsid w:val="002064DB"/>
    <w:rsid w:val="0020751E"/>
    <w:rsid w:val="00215A98"/>
    <w:rsid w:val="00216EE8"/>
    <w:rsid w:val="00224F37"/>
    <w:rsid w:val="00225E4E"/>
    <w:rsid w:val="00233B12"/>
    <w:rsid w:val="00234E7F"/>
    <w:rsid w:val="00240DC3"/>
    <w:rsid w:val="00254863"/>
    <w:rsid w:val="002752AB"/>
    <w:rsid w:val="00281C2C"/>
    <w:rsid w:val="002933BF"/>
    <w:rsid w:val="00293EE2"/>
    <w:rsid w:val="00294078"/>
    <w:rsid w:val="002962F2"/>
    <w:rsid w:val="002B3304"/>
    <w:rsid w:val="002D4AD8"/>
    <w:rsid w:val="002D5AB6"/>
    <w:rsid w:val="002D6ABD"/>
    <w:rsid w:val="002E7151"/>
    <w:rsid w:val="002F0DDF"/>
    <w:rsid w:val="00302DF0"/>
    <w:rsid w:val="003120BB"/>
    <w:rsid w:val="00325B0C"/>
    <w:rsid w:val="00343352"/>
    <w:rsid w:val="00385977"/>
    <w:rsid w:val="00385FF5"/>
    <w:rsid w:val="00391632"/>
    <w:rsid w:val="003942C9"/>
    <w:rsid w:val="003B1F20"/>
    <w:rsid w:val="003B4DAF"/>
    <w:rsid w:val="003B756E"/>
    <w:rsid w:val="003C227F"/>
    <w:rsid w:val="003C3530"/>
    <w:rsid w:val="003C4281"/>
    <w:rsid w:val="003E008E"/>
    <w:rsid w:val="003E10A7"/>
    <w:rsid w:val="003E1411"/>
    <w:rsid w:val="003F4164"/>
    <w:rsid w:val="003F4E18"/>
    <w:rsid w:val="004015BA"/>
    <w:rsid w:val="00402DB6"/>
    <w:rsid w:val="00407313"/>
    <w:rsid w:val="0041745B"/>
    <w:rsid w:val="00450660"/>
    <w:rsid w:val="00480AFD"/>
    <w:rsid w:val="00482FC7"/>
    <w:rsid w:val="004929E2"/>
    <w:rsid w:val="00492C58"/>
    <w:rsid w:val="00494693"/>
    <w:rsid w:val="004B14A2"/>
    <w:rsid w:val="004B1D30"/>
    <w:rsid w:val="004B4153"/>
    <w:rsid w:val="004B5624"/>
    <w:rsid w:val="004C60E9"/>
    <w:rsid w:val="004E75BE"/>
    <w:rsid w:val="004F2F73"/>
    <w:rsid w:val="00526CD3"/>
    <w:rsid w:val="00535654"/>
    <w:rsid w:val="0055276E"/>
    <w:rsid w:val="00553BC8"/>
    <w:rsid w:val="0055517E"/>
    <w:rsid w:val="00561D6D"/>
    <w:rsid w:val="00562C9F"/>
    <w:rsid w:val="005659AB"/>
    <w:rsid w:val="00576F8D"/>
    <w:rsid w:val="00581D1C"/>
    <w:rsid w:val="00591631"/>
    <w:rsid w:val="0059605C"/>
    <w:rsid w:val="00596CD2"/>
    <w:rsid w:val="005A144C"/>
    <w:rsid w:val="005C1141"/>
    <w:rsid w:val="005D6C96"/>
    <w:rsid w:val="005F20AA"/>
    <w:rsid w:val="00606996"/>
    <w:rsid w:val="00617172"/>
    <w:rsid w:val="00621B1D"/>
    <w:rsid w:val="00621CA7"/>
    <w:rsid w:val="00641AFB"/>
    <w:rsid w:val="00643BCF"/>
    <w:rsid w:val="00653307"/>
    <w:rsid w:val="0065484D"/>
    <w:rsid w:val="0066760E"/>
    <w:rsid w:val="006718CD"/>
    <w:rsid w:val="006748A2"/>
    <w:rsid w:val="00683F8F"/>
    <w:rsid w:val="006848DC"/>
    <w:rsid w:val="00687875"/>
    <w:rsid w:val="0069627B"/>
    <w:rsid w:val="006A0725"/>
    <w:rsid w:val="006A3ACC"/>
    <w:rsid w:val="006D478E"/>
    <w:rsid w:val="006E5666"/>
    <w:rsid w:val="006E7469"/>
    <w:rsid w:val="0070492A"/>
    <w:rsid w:val="0070508B"/>
    <w:rsid w:val="00707DAB"/>
    <w:rsid w:val="00724A0B"/>
    <w:rsid w:val="0073237F"/>
    <w:rsid w:val="00741BD9"/>
    <w:rsid w:val="00742415"/>
    <w:rsid w:val="00744E94"/>
    <w:rsid w:val="00753B5A"/>
    <w:rsid w:val="0075588A"/>
    <w:rsid w:val="0076710C"/>
    <w:rsid w:val="00775D11"/>
    <w:rsid w:val="007848B3"/>
    <w:rsid w:val="007853FA"/>
    <w:rsid w:val="00785D52"/>
    <w:rsid w:val="007A6161"/>
    <w:rsid w:val="007A6360"/>
    <w:rsid w:val="007A7ADC"/>
    <w:rsid w:val="007B5CB9"/>
    <w:rsid w:val="007D21A0"/>
    <w:rsid w:val="007E65F4"/>
    <w:rsid w:val="00801BE6"/>
    <w:rsid w:val="00805D45"/>
    <w:rsid w:val="008213AC"/>
    <w:rsid w:val="0083432F"/>
    <w:rsid w:val="00852122"/>
    <w:rsid w:val="00854FC1"/>
    <w:rsid w:val="008662A9"/>
    <w:rsid w:val="008732F2"/>
    <w:rsid w:val="00875101"/>
    <w:rsid w:val="00886860"/>
    <w:rsid w:val="008951C9"/>
    <w:rsid w:val="008B1939"/>
    <w:rsid w:val="008C1A81"/>
    <w:rsid w:val="008C3652"/>
    <w:rsid w:val="008C39D1"/>
    <w:rsid w:val="008F3833"/>
    <w:rsid w:val="00911E7C"/>
    <w:rsid w:val="00917A1E"/>
    <w:rsid w:val="009254C0"/>
    <w:rsid w:val="00941F32"/>
    <w:rsid w:val="00942220"/>
    <w:rsid w:val="009431EC"/>
    <w:rsid w:val="00944D1A"/>
    <w:rsid w:val="009557FA"/>
    <w:rsid w:val="00962040"/>
    <w:rsid w:val="00975293"/>
    <w:rsid w:val="009819B0"/>
    <w:rsid w:val="0098210A"/>
    <w:rsid w:val="00986632"/>
    <w:rsid w:val="009959D7"/>
    <w:rsid w:val="009968A1"/>
    <w:rsid w:val="009A672E"/>
    <w:rsid w:val="009A6F38"/>
    <w:rsid w:val="009B1A18"/>
    <w:rsid w:val="009B3BA1"/>
    <w:rsid w:val="009B75DF"/>
    <w:rsid w:val="009C1EA6"/>
    <w:rsid w:val="009C1F56"/>
    <w:rsid w:val="009C3C38"/>
    <w:rsid w:val="009D0FB1"/>
    <w:rsid w:val="009D5465"/>
    <w:rsid w:val="009E3D20"/>
    <w:rsid w:val="009E568F"/>
    <w:rsid w:val="009F3591"/>
    <w:rsid w:val="00A11D12"/>
    <w:rsid w:val="00A22F24"/>
    <w:rsid w:val="00A5154B"/>
    <w:rsid w:val="00A53E8A"/>
    <w:rsid w:val="00A6011C"/>
    <w:rsid w:val="00A67EF2"/>
    <w:rsid w:val="00A847D8"/>
    <w:rsid w:val="00A91F41"/>
    <w:rsid w:val="00A94E72"/>
    <w:rsid w:val="00A967A9"/>
    <w:rsid w:val="00AA1134"/>
    <w:rsid w:val="00AA5F7D"/>
    <w:rsid w:val="00AB0FF8"/>
    <w:rsid w:val="00AB5C92"/>
    <w:rsid w:val="00AD5805"/>
    <w:rsid w:val="00AE1F40"/>
    <w:rsid w:val="00AF72E6"/>
    <w:rsid w:val="00B03A71"/>
    <w:rsid w:val="00B06213"/>
    <w:rsid w:val="00B10F2D"/>
    <w:rsid w:val="00B2049C"/>
    <w:rsid w:val="00B56021"/>
    <w:rsid w:val="00B74758"/>
    <w:rsid w:val="00B76B8D"/>
    <w:rsid w:val="00B97550"/>
    <w:rsid w:val="00B9764F"/>
    <w:rsid w:val="00BA2936"/>
    <w:rsid w:val="00BE2533"/>
    <w:rsid w:val="00BE7A8F"/>
    <w:rsid w:val="00C16632"/>
    <w:rsid w:val="00C237F1"/>
    <w:rsid w:val="00C27DFA"/>
    <w:rsid w:val="00C41584"/>
    <w:rsid w:val="00C5265C"/>
    <w:rsid w:val="00C52DA2"/>
    <w:rsid w:val="00C54977"/>
    <w:rsid w:val="00C823D2"/>
    <w:rsid w:val="00C90AB3"/>
    <w:rsid w:val="00CA38E8"/>
    <w:rsid w:val="00CB4480"/>
    <w:rsid w:val="00CE691F"/>
    <w:rsid w:val="00CF006C"/>
    <w:rsid w:val="00CF3599"/>
    <w:rsid w:val="00CF447E"/>
    <w:rsid w:val="00D033B9"/>
    <w:rsid w:val="00D05C2F"/>
    <w:rsid w:val="00D13F2F"/>
    <w:rsid w:val="00D16392"/>
    <w:rsid w:val="00D2514A"/>
    <w:rsid w:val="00D26B1F"/>
    <w:rsid w:val="00D42D52"/>
    <w:rsid w:val="00D45189"/>
    <w:rsid w:val="00D5781D"/>
    <w:rsid w:val="00D663A3"/>
    <w:rsid w:val="00D75515"/>
    <w:rsid w:val="00D8049A"/>
    <w:rsid w:val="00DA461B"/>
    <w:rsid w:val="00DA4A71"/>
    <w:rsid w:val="00DA6394"/>
    <w:rsid w:val="00DB23CF"/>
    <w:rsid w:val="00DB6492"/>
    <w:rsid w:val="00DC26F2"/>
    <w:rsid w:val="00DC2F6A"/>
    <w:rsid w:val="00DE3B23"/>
    <w:rsid w:val="00DF3DC2"/>
    <w:rsid w:val="00DF493E"/>
    <w:rsid w:val="00DF7CE8"/>
    <w:rsid w:val="00E065B9"/>
    <w:rsid w:val="00E14BD8"/>
    <w:rsid w:val="00E27A75"/>
    <w:rsid w:val="00E45FB7"/>
    <w:rsid w:val="00E708FF"/>
    <w:rsid w:val="00E74067"/>
    <w:rsid w:val="00E825DD"/>
    <w:rsid w:val="00E87A5A"/>
    <w:rsid w:val="00EA3CDE"/>
    <w:rsid w:val="00EB4736"/>
    <w:rsid w:val="00EB75C7"/>
    <w:rsid w:val="00EC4D34"/>
    <w:rsid w:val="00ED03E1"/>
    <w:rsid w:val="00ED1099"/>
    <w:rsid w:val="00EE7897"/>
    <w:rsid w:val="00F03664"/>
    <w:rsid w:val="00F229C3"/>
    <w:rsid w:val="00F467D6"/>
    <w:rsid w:val="00F5050E"/>
    <w:rsid w:val="00F61862"/>
    <w:rsid w:val="00F816A1"/>
    <w:rsid w:val="00F82A12"/>
    <w:rsid w:val="00FA2AD3"/>
    <w:rsid w:val="00FB1C9E"/>
    <w:rsid w:val="00FC49DE"/>
    <w:rsid w:val="00FD0221"/>
    <w:rsid w:val="00FF6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AFBC36"/>
  <w15:docId w15:val="{B5F76402-8BA0-4454-8848-61C395E56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11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link w:val="Heading1Char"/>
    <w:uiPriority w:val="9"/>
    <w:qFormat/>
    <w:rsid w:val="00AA113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en-C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113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A113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1134"/>
    <w:rPr>
      <w:rFonts w:ascii="Times New Roman" w:eastAsia="Times New Roman" w:hAnsi="Times New Roman" w:cs="Times New Roman"/>
      <w:b/>
      <w:bCs/>
      <w:kern w:val="36"/>
      <w:sz w:val="48"/>
      <w:szCs w:val="48"/>
      <w:lang w:eastAsia="en-CA"/>
    </w:rPr>
  </w:style>
  <w:style w:type="character" w:customStyle="1" w:styleId="Heading2Char">
    <w:name w:val="Heading 2 Char"/>
    <w:basedOn w:val="DefaultParagraphFont"/>
    <w:link w:val="Heading2"/>
    <w:uiPriority w:val="9"/>
    <w:rsid w:val="00AA113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A113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Default">
    <w:name w:val="Default"/>
    <w:rsid w:val="00AA113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A11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A1134"/>
  </w:style>
  <w:style w:type="character" w:customStyle="1" w:styleId="CommentTextChar">
    <w:name w:val="Comment Text Char"/>
    <w:basedOn w:val="DefaultParagraphFont"/>
    <w:link w:val="CommentText"/>
    <w:uiPriority w:val="99"/>
    <w:rsid w:val="00AA113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11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113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11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1134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A113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A113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AA1134"/>
    <w:pPr>
      <w:spacing w:before="100" w:beforeAutospacing="1" w:after="100" w:afterAutospacing="1"/>
    </w:pPr>
    <w:rPr>
      <w:sz w:val="24"/>
      <w:szCs w:val="24"/>
      <w:lang w:eastAsia="en-CA"/>
    </w:rPr>
  </w:style>
  <w:style w:type="paragraph" w:styleId="ListParagraph">
    <w:name w:val="List Paragraph"/>
    <w:basedOn w:val="Normal"/>
    <w:uiPriority w:val="34"/>
    <w:qFormat/>
    <w:rsid w:val="00AA1134"/>
    <w:pPr>
      <w:ind w:left="720"/>
      <w:contextualSpacing/>
    </w:pPr>
  </w:style>
  <w:style w:type="paragraph" w:customStyle="1" w:styleId="definition">
    <w:name w:val="definition"/>
    <w:rsid w:val="00AA1134"/>
    <w:pPr>
      <w:tabs>
        <w:tab w:val="left" w:pos="0"/>
      </w:tabs>
      <w:spacing w:before="111" w:after="0" w:line="209" w:lineRule="exact"/>
      <w:ind w:left="189" w:hanging="189"/>
      <w:jc w:val="both"/>
    </w:pPr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59"/>
    <w:rsid w:val="00AA11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TDbullet1">
    <w:name w:val="CTD bullet 1"/>
    <w:rsid w:val="00AA1134"/>
    <w:pPr>
      <w:numPr>
        <w:numId w:val="5"/>
      </w:num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ndNoteBibliography">
    <w:name w:val="EndNote Bibliography"/>
    <w:basedOn w:val="Normal"/>
    <w:link w:val="EndNoteBibliographyChar"/>
    <w:rsid w:val="00AA1134"/>
    <w:rPr>
      <w:rFonts w:ascii="Arial" w:eastAsiaTheme="majorEastAsia" w:hAnsi="Arial" w:cs="Arial"/>
      <w:noProof/>
      <w:color w:val="000000" w:themeColor="text1"/>
      <w:sz w:val="24"/>
      <w:szCs w:val="24"/>
      <w:lang w:eastAsia="ja-JP"/>
    </w:rPr>
  </w:style>
  <w:style w:type="character" w:customStyle="1" w:styleId="EndNoteBibliographyChar">
    <w:name w:val="EndNote Bibliography Char"/>
    <w:basedOn w:val="DefaultParagraphFont"/>
    <w:link w:val="EndNoteBibliography"/>
    <w:rsid w:val="00AA1134"/>
    <w:rPr>
      <w:rFonts w:ascii="Arial" w:eastAsiaTheme="majorEastAsia" w:hAnsi="Arial" w:cs="Arial"/>
      <w:noProof/>
      <w:color w:val="000000" w:themeColor="text1"/>
      <w:sz w:val="24"/>
      <w:szCs w:val="24"/>
      <w:lang w:val="pt-PT" w:eastAsia="ja-JP"/>
    </w:rPr>
  </w:style>
  <w:style w:type="paragraph" w:customStyle="1" w:styleId="Normal4">
    <w:name w:val="Normal 4"/>
    <w:basedOn w:val="Normal"/>
    <w:qFormat/>
    <w:rsid w:val="00AA1134"/>
    <w:pPr>
      <w:spacing w:after="120"/>
      <w:ind w:left="567"/>
    </w:pPr>
    <w:rPr>
      <w:rFonts w:asciiTheme="minorHAnsi" w:eastAsiaTheme="majorEastAsia" w:hAnsiTheme="minorHAnsi" w:cs="Arial"/>
      <w:color w:val="000000" w:themeColor="text1"/>
      <w:sz w:val="24"/>
      <w:szCs w:val="24"/>
      <w:lang w:eastAsia="ja-JP"/>
    </w:rPr>
  </w:style>
  <w:style w:type="character" w:styleId="Strong">
    <w:name w:val="Strong"/>
    <w:uiPriority w:val="22"/>
    <w:qFormat/>
    <w:rsid w:val="00AA1134"/>
    <w:rPr>
      <w:b/>
      <w:bCs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A1134"/>
    <w:rPr>
      <w:color w:val="605E5C"/>
      <w:shd w:val="clear" w:color="auto" w:fill="E1DFDD"/>
    </w:rPr>
  </w:style>
  <w:style w:type="character" w:customStyle="1" w:styleId="st">
    <w:name w:val="st"/>
    <w:basedOn w:val="DefaultParagraphFont"/>
    <w:rsid w:val="00AA1134"/>
  </w:style>
  <w:style w:type="paragraph" w:styleId="Header">
    <w:name w:val="header"/>
    <w:basedOn w:val="Normal"/>
    <w:link w:val="HeaderChar"/>
    <w:uiPriority w:val="99"/>
    <w:unhideWhenUsed/>
    <w:rsid w:val="00AA113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1134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AA113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1134"/>
    <w:rPr>
      <w:rFonts w:ascii="Times New Roman" w:eastAsia="Times New Roman" w:hAnsi="Times New Roman" w:cs="Times New Roman"/>
      <w:sz w:val="20"/>
      <w:szCs w:val="20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AA1134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AA1134"/>
    <w:pPr>
      <w:spacing w:before="100" w:beforeAutospacing="1" w:after="100" w:afterAutospacing="1"/>
    </w:pPr>
    <w:rPr>
      <w:sz w:val="24"/>
      <w:szCs w:val="24"/>
      <w:lang w:eastAsia="en-CA"/>
    </w:rPr>
  </w:style>
  <w:style w:type="paragraph" w:styleId="TOCHeading">
    <w:name w:val="TOC Heading"/>
    <w:basedOn w:val="Heading1"/>
    <w:next w:val="Normal"/>
    <w:uiPriority w:val="39"/>
    <w:unhideWhenUsed/>
    <w:qFormat/>
    <w:rsid w:val="00AA1134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AA1134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AA1134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AA1134"/>
    <w:pPr>
      <w:spacing w:after="100"/>
      <w:ind w:left="400"/>
    </w:pPr>
  </w:style>
  <w:style w:type="paragraph" w:styleId="Revision">
    <w:name w:val="Revision"/>
    <w:hidden/>
    <w:uiPriority w:val="99"/>
    <w:semiHidden/>
    <w:rsid w:val="00AA11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AA1134"/>
    <w:rPr>
      <w:color w:val="605E5C"/>
      <w:shd w:val="clear" w:color="auto" w:fill="E1DFDD"/>
    </w:rPr>
  </w:style>
  <w:style w:type="paragraph" w:styleId="TOC4">
    <w:name w:val="toc 4"/>
    <w:basedOn w:val="Normal"/>
    <w:next w:val="Normal"/>
    <w:autoRedefine/>
    <w:uiPriority w:val="39"/>
    <w:unhideWhenUsed/>
    <w:rsid w:val="00AA1134"/>
    <w:pPr>
      <w:spacing w:after="100"/>
      <w:ind w:left="720"/>
    </w:pPr>
    <w:rPr>
      <w:rFonts w:asciiTheme="minorHAnsi" w:eastAsiaTheme="minorEastAsia" w:hAnsiTheme="minorHAnsi" w:cstheme="minorBidi"/>
      <w:sz w:val="24"/>
      <w:szCs w:val="24"/>
    </w:rPr>
  </w:style>
  <w:style w:type="paragraph" w:styleId="TOC5">
    <w:name w:val="toc 5"/>
    <w:basedOn w:val="Normal"/>
    <w:next w:val="Normal"/>
    <w:autoRedefine/>
    <w:uiPriority w:val="39"/>
    <w:unhideWhenUsed/>
    <w:rsid w:val="00AA1134"/>
    <w:pPr>
      <w:spacing w:after="100"/>
      <w:ind w:left="960"/>
    </w:pPr>
    <w:rPr>
      <w:rFonts w:asciiTheme="minorHAnsi" w:eastAsiaTheme="minorEastAsia" w:hAnsiTheme="minorHAnsi" w:cstheme="minorBidi"/>
      <w:sz w:val="24"/>
      <w:szCs w:val="24"/>
    </w:rPr>
  </w:style>
  <w:style w:type="paragraph" w:styleId="TOC6">
    <w:name w:val="toc 6"/>
    <w:basedOn w:val="Normal"/>
    <w:next w:val="Normal"/>
    <w:autoRedefine/>
    <w:uiPriority w:val="39"/>
    <w:unhideWhenUsed/>
    <w:rsid w:val="00AA1134"/>
    <w:pPr>
      <w:spacing w:after="100"/>
      <w:ind w:left="1200"/>
    </w:pPr>
    <w:rPr>
      <w:rFonts w:asciiTheme="minorHAnsi" w:eastAsiaTheme="minorEastAsia" w:hAnsiTheme="minorHAnsi" w:cstheme="minorBidi"/>
      <w:sz w:val="24"/>
      <w:szCs w:val="24"/>
    </w:rPr>
  </w:style>
  <w:style w:type="paragraph" w:styleId="TOC7">
    <w:name w:val="toc 7"/>
    <w:basedOn w:val="Normal"/>
    <w:next w:val="Normal"/>
    <w:autoRedefine/>
    <w:uiPriority w:val="39"/>
    <w:unhideWhenUsed/>
    <w:rsid w:val="00AA1134"/>
    <w:pPr>
      <w:spacing w:after="100"/>
      <w:ind w:left="1440"/>
    </w:pPr>
    <w:rPr>
      <w:rFonts w:asciiTheme="minorHAnsi" w:eastAsiaTheme="minorEastAsia" w:hAnsiTheme="minorHAnsi" w:cstheme="minorBidi"/>
      <w:sz w:val="24"/>
      <w:szCs w:val="24"/>
    </w:rPr>
  </w:style>
  <w:style w:type="paragraph" w:styleId="TOC8">
    <w:name w:val="toc 8"/>
    <w:basedOn w:val="Normal"/>
    <w:next w:val="Normal"/>
    <w:autoRedefine/>
    <w:uiPriority w:val="39"/>
    <w:unhideWhenUsed/>
    <w:rsid w:val="00AA1134"/>
    <w:pPr>
      <w:spacing w:after="100"/>
      <w:ind w:left="1680"/>
    </w:pPr>
    <w:rPr>
      <w:rFonts w:asciiTheme="minorHAnsi" w:eastAsiaTheme="minorEastAsia" w:hAnsiTheme="minorHAnsi" w:cstheme="minorBidi"/>
      <w:sz w:val="24"/>
      <w:szCs w:val="24"/>
    </w:rPr>
  </w:style>
  <w:style w:type="paragraph" w:styleId="TOC9">
    <w:name w:val="toc 9"/>
    <w:basedOn w:val="Normal"/>
    <w:next w:val="Normal"/>
    <w:autoRedefine/>
    <w:uiPriority w:val="39"/>
    <w:unhideWhenUsed/>
    <w:rsid w:val="00AA1134"/>
    <w:pPr>
      <w:spacing w:after="100"/>
      <w:ind w:left="1920"/>
    </w:pPr>
    <w:rPr>
      <w:rFonts w:asciiTheme="minorHAnsi" w:eastAsiaTheme="minorEastAsia" w:hAnsiTheme="minorHAnsi" w:cstheme="min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90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570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Mount Sinai Hospital</Company>
  <LinksUpToDate>false</LinksUpToDate>
  <CharactersWithSpaces>3814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 Coomes</dc:creator>
  <cp:lastModifiedBy>Haggen Kennedy</cp:lastModifiedBy>
  <cp:revision>5</cp:revision>
  <cp:lastPrinted>2020-06-01T21:55:00Z</cp:lastPrinted>
  <dcterms:created xsi:type="dcterms:W3CDTF">2020-11-02T19:24:00Z</dcterms:created>
  <dcterms:modified xsi:type="dcterms:W3CDTF">2020-11-12T23:55:00Z</dcterms:modified>
</cp:coreProperties>
</file>